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0C4A3" w14:textId="77777777" w:rsidR="000B22FC" w:rsidRDefault="000B22FC" w:rsidP="000B22FC">
      <w:pPr>
        <w:jc w:val="center"/>
        <w:rPr>
          <w:rFonts w:ascii="Helvetica" w:hAnsi="Helvetica" w:cs="Helvetica"/>
          <w:b/>
          <w:bCs/>
          <w:sz w:val="20"/>
          <w:lang w:val="en-US"/>
        </w:rPr>
      </w:pPr>
    </w:p>
    <w:p w14:paraId="7A146CAA" w14:textId="77777777" w:rsidR="000B22FC" w:rsidRPr="00380134" w:rsidRDefault="000B22FC" w:rsidP="000B22FC">
      <w:pPr>
        <w:jc w:val="center"/>
        <w:rPr>
          <w:rFonts w:ascii="Helvetica" w:hAnsi="Helvetica" w:cs="Helvetica"/>
          <w:b/>
          <w:bCs/>
          <w:sz w:val="12"/>
          <w:szCs w:val="12"/>
        </w:rPr>
      </w:pPr>
      <w:r>
        <w:rPr>
          <w:rFonts w:ascii="Helvetica" w:hAnsi="Helvetica" w:cs="Helvetica"/>
          <w:b/>
          <w:bCs/>
          <w:sz w:val="20"/>
          <w:lang w:val="en-US"/>
        </w:rPr>
        <w:t xml:space="preserve">OECD GDP </w:t>
      </w:r>
      <w:r w:rsidR="005277AA">
        <w:rPr>
          <w:rFonts w:ascii="Helvetica" w:hAnsi="Helvetica" w:cs="Helvetica"/>
          <w:b/>
          <w:bCs/>
          <w:sz w:val="20"/>
          <w:lang w:val="en-US"/>
        </w:rPr>
        <w:t>contracted</w:t>
      </w:r>
      <w:r w:rsidR="001121BF">
        <w:rPr>
          <w:rFonts w:ascii="Helvetica" w:hAnsi="Helvetica" w:cs="Helvetica"/>
          <w:b/>
          <w:bCs/>
          <w:sz w:val="20"/>
          <w:lang w:val="en-US"/>
        </w:rPr>
        <w:t xml:space="preserve"> by 0.2%</w:t>
      </w:r>
      <w:r>
        <w:rPr>
          <w:rFonts w:ascii="Helvetica" w:hAnsi="Helvetica" w:cs="Helvetica"/>
          <w:b/>
          <w:bCs/>
          <w:sz w:val="20"/>
          <w:lang w:val="en-US"/>
        </w:rPr>
        <w:t xml:space="preserve"> </w:t>
      </w:r>
      <w:r>
        <w:rPr>
          <w:rFonts w:ascii="Helvetica" w:hAnsi="Helvetica" w:cs="Helvetica"/>
          <w:b/>
          <w:bCs/>
          <w:sz w:val="20"/>
        </w:rPr>
        <w:t>in</w:t>
      </w:r>
      <w:r w:rsidR="001121BF">
        <w:rPr>
          <w:rFonts w:ascii="Helvetica" w:hAnsi="Helvetica" w:cs="Helvetica"/>
          <w:b/>
          <w:bCs/>
          <w:sz w:val="20"/>
        </w:rPr>
        <w:t xml:space="preserve"> the</w:t>
      </w:r>
      <w:r>
        <w:rPr>
          <w:rFonts w:ascii="Helvetica" w:hAnsi="Helvetica" w:cs="Helvetica"/>
          <w:b/>
          <w:bCs/>
          <w:sz w:val="20"/>
        </w:rPr>
        <w:t xml:space="preserve"> </w:t>
      </w:r>
      <w:r w:rsidR="001121BF">
        <w:rPr>
          <w:rFonts w:ascii="Helvetica" w:hAnsi="Helvetica" w:cs="Helvetica"/>
          <w:b/>
          <w:bCs/>
          <w:sz w:val="20"/>
        </w:rPr>
        <w:t>fourth</w:t>
      </w:r>
      <w:r>
        <w:rPr>
          <w:rFonts w:ascii="Helvetica" w:hAnsi="Helvetica" w:cs="Helvetica"/>
          <w:b/>
          <w:bCs/>
          <w:sz w:val="20"/>
        </w:rPr>
        <w:t xml:space="preserve"> quarter of 2012</w:t>
      </w:r>
      <w:r w:rsidR="001121BF">
        <w:rPr>
          <w:rFonts w:ascii="Helvetica" w:hAnsi="Helvetica" w:cs="Helvetica"/>
          <w:b/>
          <w:bCs/>
          <w:sz w:val="20"/>
        </w:rPr>
        <w:t xml:space="preserve"> </w:t>
      </w:r>
    </w:p>
    <w:p w14:paraId="7C99B296" w14:textId="77777777" w:rsidR="000B22FC" w:rsidRPr="00380134" w:rsidRDefault="000B22FC" w:rsidP="000B22FC">
      <w:pPr>
        <w:jc w:val="center"/>
        <w:rPr>
          <w:rFonts w:ascii="Helvetica" w:hAnsi="Helvetica" w:cs="Helvetica"/>
          <w:b/>
          <w:bCs/>
          <w:sz w:val="12"/>
          <w:szCs w:val="12"/>
        </w:rPr>
      </w:pPr>
    </w:p>
    <w:p w14:paraId="2F651603" w14:textId="77777777" w:rsidR="000B22FC" w:rsidRDefault="000B22FC" w:rsidP="000B22FC">
      <w:pPr>
        <w:pStyle w:val="s12"/>
        <w:spacing w:before="0" w:beforeAutospacing="0" w:after="0" w:afterAutospacing="0"/>
        <w:ind w:right="-105"/>
        <w:jc w:val="both"/>
        <w:rPr>
          <w:rFonts w:ascii="Helvetica" w:hAnsi="Helvetica"/>
          <w:sz w:val="8"/>
          <w:szCs w:val="8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 w:rsidRPr="00D8797C">
        <w:rPr>
          <w:rStyle w:val="s6"/>
          <w:rFonts w:ascii="Helvetica" w:hAnsi="Helvetica"/>
          <w:sz w:val="20"/>
          <w:szCs w:val="20"/>
        </w:rPr>
        <w:t>Provisional estimates show that quarterly gross domestic product (GDP) in the </w:t>
      </w:r>
      <w:r w:rsidRPr="00D8797C">
        <w:rPr>
          <w:rStyle w:val="s10"/>
          <w:rFonts w:ascii="Helvetica" w:hAnsi="Helvetica"/>
          <w:b/>
          <w:bCs/>
          <w:sz w:val="20"/>
          <w:szCs w:val="20"/>
        </w:rPr>
        <w:t>OECD area</w:t>
      </w:r>
      <w:r w:rsidR="001121BF" w:rsidRPr="001121BF">
        <w:rPr>
          <w:rStyle w:val="s10"/>
          <w:rFonts w:ascii="Helvetica" w:hAnsi="Helvetica"/>
          <w:bCs/>
          <w:sz w:val="20"/>
          <w:szCs w:val="20"/>
        </w:rPr>
        <w:t xml:space="preserve"> fell</w:t>
      </w:r>
      <w:r w:rsidRPr="00D8797C">
        <w:rPr>
          <w:rStyle w:val="s6"/>
          <w:rFonts w:ascii="Helvetica" w:hAnsi="Helvetica"/>
          <w:sz w:val="20"/>
          <w:szCs w:val="20"/>
        </w:rPr>
        <w:t xml:space="preserve"> by 0.2% in the </w:t>
      </w:r>
      <w:r w:rsidR="001121BF">
        <w:rPr>
          <w:rStyle w:val="s6"/>
          <w:rFonts w:ascii="Helvetica" w:hAnsi="Helvetica"/>
          <w:sz w:val="20"/>
          <w:szCs w:val="20"/>
        </w:rPr>
        <w:t xml:space="preserve">fourth </w:t>
      </w:r>
      <w:r w:rsidRPr="00D8797C">
        <w:rPr>
          <w:rStyle w:val="s6"/>
          <w:rFonts w:ascii="Helvetica" w:hAnsi="Helvetica"/>
          <w:sz w:val="20"/>
          <w:szCs w:val="20"/>
        </w:rPr>
        <w:t xml:space="preserve">quarter of 2012, </w:t>
      </w:r>
      <w:r w:rsidR="00A300AA">
        <w:rPr>
          <w:rStyle w:val="s6"/>
          <w:rFonts w:ascii="Helvetica" w:hAnsi="Helvetica"/>
          <w:sz w:val="20"/>
          <w:szCs w:val="20"/>
        </w:rPr>
        <w:t xml:space="preserve">after a </w:t>
      </w:r>
      <w:r w:rsidR="005277AA">
        <w:rPr>
          <w:rStyle w:val="s6"/>
          <w:rFonts w:ascii="Helvetica" w:hAnsi="Helvetica"/>
          <w:sz w:val="20"/>
          <w:szCs w:val="20"/>
        </w:rPr>
        <w:t xml:space="preserve">0.3% </w:t>
      </w:r>
      <w:r w:rsidR="00A300AA">
        <w:rPr>
          <w:rStyle w:val="s6"/>
          <w:rFonts w:ascii="Helvetica" w:hAnsi="Helvetica"/>
          <w:sz w:val="20"/>
          <w:szCs w:val="20"/>
        </w:rPr>
        <w:t>increase</w:t>
      </w:r>
      <w:r w:rsidR="003755B8">
        <w:rPr>
          <w:rStyle w:val="s6"/>
          <w:rFonts w:ascii="Helvetica" w:hAnsi="Helvetica"/>
          <w:sz w:val="20"/>
          <w:szCs w:val="20"/>
        </w:rPr>
        <w:t xml:space="preserve"> </w:t>
      </w:r>
      <w:r w:rsidR="005277AA">
        <w:rPr>
          <w:rStyle w:val="s6"/>
          <w:rFonts w:ascii="Helvetica" w:hAnsi="Helvetica"/>
          <w:sz w:val="20"/>
          <w:szCs w:val="20"/>
        </w:rPr>
        <w:t>in the previous quarter.</w:t>
      </w:r>
      <w:r w:rsidR="00BD451A">
        <w:rPr>
          <w:rStyle w:val="s6"/>
          <w:rFonts w:ascii="Helvetica" w:hAnsi="Helvetica"/>
          <w:sz w:val="20"/>
          <w:szCs w:val="20"/>
        </w:rPr>
        <w:t xml:space="preserve"> This is the first contraction</w:t>
      </w:r>
      <w:r w:rsidR="00BA4272">
        <w:rPr>
          <w:rStyle w:val="s6"/>
          <w:rFonts w:ascii="Helvetica" w:hAnsi="Helvetica"/>
          <w:sz w:val="20"/>
          <w:szCs w:val="20"/>
        </w:rPr>
        <w:t xml:space="preserve"> of GDP</w:t>
      </w:r>
      <w:r w:rsidR="00BD451A">
        <w:rPr>
          <w:rStyle w:val="s6"/>
          <w:rFonts w:ascii="Helvetica" w:hAnsi="Helvetica"/>
          <w:sz w:val="20"/>
          <w:szCs w:val="20"/>
        </w:rPr>
        <w:t xml:space="preserve"> in the</w:t>
      </w:r>
      <w:r w:rsidR="00083A00">
        <w:rPr>
          <w:rStyle w:val="s6"/>
          <w:rFonts w:ascii="Helvetica" w:hAnsi="Helvetica"/>
          <w:sz w:val="20"/>
          <w:szCs w:val="20"/>
        </w:rPr>
        <w:t xml:space="preserve"> </w:t>
      </w:r>
      <w:r w:rsidR="00083A00" w:rsidRPr="00AB61E5">
        <w:rPr>
          <w:rStyle w:val="s6"/>
          <w:rFonts w:ascii="Helvetica" w:hAnsi="Helvetica"/>
          <w:sz w:val="20"/>
          <w:szCs w:val="20"/>
        </w:rPr>
        <w:t>OECD</w:t>
      </w:r>
      <w:r w:rsidR="00BD451A" w:rsidRPr="00AB61E5">
        <w:rPr>
          <w:rStyle w:val="s6"/>
          <w:rFonts w:ascii="Helvetica" w:hAnsi="Helvetica"/>
          <w:sz w:val="20"/>
          <w:szCs w:val="20"/>
        </w:rPr>
        <w:t xml:space="preserve"> area</w:t>
      </w:r>
      <w:r w:rsidR="00BD451A">
        <w:rPr>
          <w:rStyle w:val="s6"/>
          <w:rFonts w:ascii="Helvetica" w:hAnsi="Helvetica"/>
          <w:sz w:val="20"/>
          <w:szCs w:val="20"/>
        </w:rPr>
        <w:t xml:space="preserve"> since the </w:t>
      </w:r>
      <w:r w:rsidR="0050735A">
        <w:rPr>
          <w:rStyle w:val="s6"/>
          <w:rFonts w:ascii="Helvetica" w:hAnsi="Helvetica"/>
          <w:sz w:val="20"/>
          <w:szCs w:val="20"/>
        </w:rPr>
        <w:t xml:space="preserve">very </w:t>
      </w:r>
      <w:r w:rsidR="00372351">
        <w:rPr>
          <w:rStyle w:val="s6"/>
          <w:rFonts w:ascii="Helvetica" w:hAnsi="Helvetica"/>
          <w:sz w:val="20"/>
          <w:szCs w:val="20"/>
        </w:rPr>
        <w:t xml:space="preserve">sharp decline </w:t>
      </w:r>
      <w:r w:rsidR="004A31EE">
        <w:rPr>
          <w:rStyle w:val="s6"/>
          <w:rFonts w:ascii="Helvetica" w:hAnsi="Helvetica"/>
          <w:sz w:val="20"/>
          <w:szCs w:val="20"/>
        </w:rPr>
        <w:t>in the first quarter of 2009 (minus 2.3%)</w:t>
      </w:r>
      <w:r w:rsidR="00251CB0">
        <w:rPr>
          <w:rStyle w:val="s6"/>
          <w:rFonts w:ascii="Helvetica" w:hAnsi="Helvetica"/>
          <w:sz w:val="20"/>
          <w:szCs w:val="20"/>
        </w:rPr>
        <w:t>.</w:t>
      </w:r>
      <w:r w:rsidRPr="00380134">
        <w:rPr>
          <w:rFonts w:ascii="Helvetica" w:hAnsi="Helvetica"/>
          <w:sz w:val="8"/>
          <w:szCs w:val="8"/>
        </w:rPr>
        <w:t> </w:t>
      </w:r>
    </w:p>
    <w:p w14:paraId="540A2BC2" w14:textId="77777777" w:rsidR="00D36D93" w:rsidRPr="00380134" w:rsidRDefault="00D36D93" w:rsidP="000B22FC">
      <w:pPr>
        <w:pStyle w:val="s12"/>
        <w:spacing w:before="0" w:beforeAutospacing="0" w:after="0" w:afterAutospacing="0"/>
        <w:ind w:right="-105"/>
        <w:jc w:val="both"/>
        <w:rPr>
          <w:rFonts w:ascii="Helvetica" w:hAnsi="Helvetica"/>
          <w:sz w:val="8"/>
          <w:szCs w:val="8"/>
        </w:rPr>
      </w:pPr>
    </w:p>
    <w:p w14:paraId="253D93EF" w14:textId="77777777" w:rsidR="000B22FC" w:rsidRPr="00380134" w:rsidRDefault="000B22FC" w:rsidP="00083A00">
      <w:pPr>
        <w:pStyle w:val="s12"/>
        <w:spacing w:before="0" w:beforeAutospacing="0" w:after="0" w:afterAutospacing="0"/>
        <w:ind w:right="-105"/>
        <w:jc w:val="both"/>
        <w:rPr>
          <w:rFonts w:ascii="Helvetica" w:hAnsi="Helvetica"/>
          <w:sz w:val="8"/>
          <w:szCs w:val="8"/>
        </w:rPr>
      </w:pPr>
      <w:r w:rsidRPr="00D8797C">
        <w:rPr>
          <w:rFonts w:ascii="Helvetica" w:hAnsi="Helvetica" w:cs="Cambria Math"/>
          <w:sz w:val="20"/>
          <w:szCs w:val="20"/>
        </w:rPr>
        <w:tab/>
      </w:r>
      <w:r>
        <w:rPr>
          <w:rFonts w:ascii="Helvetica" w:hAnsi="Helvetica" w:cs="Cambria Math"/>
          <w:sz w:val="20"/>
          <w:szCs w:val="20"/>
        </w:rPr>
        <w:tab/>
      </w:r>
      <w:r w:rsidR="00BB1136">
        <w:rPr>
          <w:rFonts w:ascii="Helvetica" w:hAnsi="Helvetica" w:cs="Cambria Math"/>
          <w:sz w:val="20"/>
          <w:szCs w:val="20"/>
        </w:rPr>
        <w:t>The contraction was particularly marked in</w:t>
      </w:r>
      <w:r w:rsidR="00251CB0">
        <w:rPr>
          <w:rFonts w:ascii="Helvetica" w:hAnsi="Helvetica" w:cs="Cambria Math"/>
          <w:sz w:val="20"/>
          <w:szCs w:val="20"/>
        </w:rPr>
        <w:t xml:space="preserve"> the</w:t>
      </w:r>
      <w:r w:rsidR="00BB1136">
        <w:rPr>
          <w:rFonts w:ascii="Helvetica" w:hAnsi="Helvetica" w:cs="Cambria Math"/>
          <w:sz w:val="20"/>
          <w:szCs w:val="20"/>
        </w:rPr>
        <w:t xml:space="preserve"> </w:t>
      </w:r>
      <w:r w:rsidR="00BB1136" w:rsidRPr="0090583B">
        <w:rPr>
          <w:rFonts w:ascii="Helvetica" w:hAnsi="Helvetica" w:cs="Cambria Math"/>
          <w:b/>
          <w:sz w:val="20"/>
          <w:szCs w:val="20"/>
        </w:rPr>
        <w:t>European</w:t>
      </w:r>
      <w:r w:rsidR="00BB1136">
        <w:rPr>
          <w:rFonts w:ascii="Helvetica" w:hAnsi="Helvetica" w:cs="Cambria Math"/>
          <w:sz w:val="20"/>
          <w:szCs w:val="20"/>
        </w:rPr>
        <w:t xml:space="preserve"> </w:t>
      </w:r>
      <w:r w:rsidR="00BB1136" w:rsidRPr="0090583B">
        <w:rPr>
          <w:rFonts w:ascii="Helvetica" w:hAnsi="Helvetica" w:cs="Cambria Math"/>
          <w:b/>
          <w:sz w:val="20"/>
          <w:szCs w:val="20"/>
        </w:rPr>
        <w:t>Union</w:t>
      </w:r>
      <w:r w:rsidR="00BB1136">
        <w:rPr>
          <w:rFonts w:ascii="Helvetica" w:hAnsi="Helvetica" w:cs="Cambria Math"/>
          <w:sz w:val="20"/>
          <w:szCs w:val="20"/>
        </w:rPr>
        <w:t xml:space="preserve">, where GDP </w:t>
      </w:r>
      <w:r w:rsidR="00A93A81">
        <w:rPr>
          <w:rFonts w:ascii="Helvetica" w:hAnsi="Helvetica" w:cs="Cambria Math"/>
          <w:sz w:val="20"/>
          <w:szCs w:val="20"/>
        </w:rPr>
        <w:t xml:space="preserve">decreased </w:t>
      </w:r>
      <w:r w:rsidR="00BB1136">
        <w:rPr>
          <w:rFonts w:ascii="Helvetica" w:hAnsi="Helvetica" w:cs="Cambria Math"/>
          <w:sz w:val="20"/>
          <w:szCs w:val="20"/>
        </w:rPr>
        <w:t xml:space="preserve">by </w:t>
      </w:r>
      <w:r w:rsidR="0090583B">
        <w:rPr>
          <w:rFonts w:ascii="Helvetica" w:hAnsi="Helvetica" w:cs="Cambria Math"/>
          <w:sz w:val="20"/>
          <w:szCs w:val="20"/>
        </w:rPr>
        <w:t>0.5%</w:t>
      </w:r>
      <w:r w:rsidR="00BB1136">
        <w:rPr>
          <w:rFonts w:ascii="Helvetica" w:hAnsi="Helvetica" w:cs="Cambria Math"/>
          <w:sz w:val="20"/>
          <w:szCs w:val="20"/>
        </w:rPr>
        <w:t>.</w:t>
      </w:r>
      <w:r w:rsidR="002526A0">
        <w:rPr>
          <w:rFonts w:ascii="Helvetica" w:hAnsi="Helvetica" w:cs="Cambria Math"/>
          <w:sz w:val="20"/>
          <w:szCs w:val="20"/>
        </w:rPr>
        <w:t xml:space="preserve"> </w:t>
      </w:r>
      <w:r w:rsidR="00251CB0">
        <w:rPr>
          <w:rFonts w:ascii="Helvetica" w:hAnsi="Helvetica" w:cs="Cambria Math"/>
          <w:sz w:val="20"/>
          <w:szCs w:val="20"/>
        </w:rPr>
        <w:t xml:space="preserve">In </w:t>
      </w:r>
      <w:r w:rsidR="00251CB0" w:rsidRPr="003C5CFB">
        <w:rPr>
          <w:rFonts w:ascii="Helvetica" w:hAnsi="Helvetica" w:cs="Cambria Math"/>
          <w:b/>
          <w:sz w:val="20"/>
          <w:szCs w:val="20"/>
        </w:rPr>
        <w:t>Germany</w:t>
      </w:r>
      <w:r w:rsidR="00251CB0">
        <w:rPr>
          <w:rFonts w:ascii="Helvetica" w:hAnsi="Helvetica" w:cs="Cambria Math"/>
          <w:sz w:val="20"/>
          <w:szCs w:val="20"/>
        </w:rPr>
        <w:t>, GDP fell by 0.6%, the first GDP contraction since early 2009.</w:t>
      </w:r>
      <w:r w:rsidR="00BB1136">
        <w:rPr>
          <w:rFonts w:ascii="Helvetica" w:hAnsi="Helvetica" w:cs="Cambria Math"/>
          <w:sz w:val="20"/>
          <w:szCs w:val="20"/>
        </w:rPr>
        <w:t xml:space="preserve"> </w:t>
      </w:r>
      <w:r w:rsidR="00634B6C">
        <w:rPr>
          <w:rFonts w:ascii="Helvetica" w:hAnsi="Helvetica" w:cs="Cambria Math"/>
          <w:sz w:val="20"/>
          <w:szCs w:val="20"/>
        </w:rPr>
        <w:t xml:space="preserve">In the </w:t>
      </w:r>
      <w:r w:rsidR="00634B6C" w:rsidRPr="00634B6C">
        <w:rPr>
          <w:rFonts w:ascii="Helvetica" w:hAnsi="Helvetica" w:cs="Cambria Math"/>
          <w:b/>
          <w:sz w:val="20"/>
          <w:szCs w:val="20"/>
        </w:rPr>
        <w:t>United Kingdom</w:t>
      </w:r>
      <w:r w:rsidR="00634B6C">
        <w:rPr>
          <w:rFonts w:ascii="Helvetica" w:hAnsi="Helvetica" w:cs="Cambria Math"/>
          <w:sz w:val="20"/>
          <w:szCs w:val="20"/>
        </w:rPr>
        <w:t xml:space="preserve"> and </w:t>
      </w:r>
      <w:r w:rsidR="00634B6C" w:rsidRPr="00634B6C">
        <w:rPr>
          <w:rFonts w:ascii="Helvetica" w:hAnsi="Helvetica" w:cs="Cambria Math"/>
          <w:b/>
          <w:sz w:val="20"/>
          <w:szCs w:val="20"/>
        </w:rPr>
        <w:t>France</w:t>
      </w:r>
      <w:r w:rsidR="00634B6C">
        <w:rPr>
          <w:rFonts w:ascii="Helvetica" w:hAnsi="Helvetica" w:cs="Cambria Math"/>
          <w:sz w:val="20"/>
          <w:szCs w:val="20"/>
        </w:rPr>
        <w:t xml:space="preserve">, GDP decreased by 0.3%, </w:t>
      </w:r>
      <w:r w:rsidR="003C5CFB">
        <w:rPr>
          <w:rFonts w:ascii="Helvetica" w:hAnsi="Helvetica" w:cs="Cambria Math"/>
          <w:sz w:val="20"/>
          <w:szCs w:val="20"/>
        </w:rPr>
        <w:t>against</w:t>
      </w:r>
      <w:r w:rsidR="00634B6C">
        <w:rPr>
          <w:rFonts w:ascii="Helvetica" w:hAnsi="Helvetica" w:cs="Cambria Math"/>
          <w:sz w:val="20"/>
          <w:szCs w:val="20"/>
        </w:rPr>
        <w:t xml:space="preserve"> positive </w:t>
      </w:r>
      <w:r w:rsidR="0050735A">
        <w:rPr>
          <w:rFonts w:ascii="Helvetica" w:hAnsi="Helvetica" w:cs="Cambria Math"/>
          <w:sz w:val="20"/>
          <w:szCs w:val="20"/>
        </w:rPr>
        <w:t xml:space="preserve">growth </w:t>
      </w:r>
      <w:r w:rsidR="007929E8">
        <w:rPr>
          <w:rFonts w:ascii="Helvetica" w:hAnsi="Helvetica" w:cs="Cambria Math"/>
          <w:sz w:val="20"/>
          <w:szCs w:val="20"/>
        </w:rPr>
        <w:t xml:space="preserve">rates </w:t>
      </w:r>
      <w:r w:rsidR="0050735A">
        <w:rPr>
          <w:rFonts w:ascii="Helvetica" w:hAnsi="Helvetica" w:cs="Cambria Math"/>
          <w:sz w:val="20"/>
          <w:szCs w:val="20"/>
        </w:rPr>
        <w:t>in</w:t>
      </w:r>
      <w:r w:rsidR="00634B6C">
        <w:rPr>
          <w:rFonts w:ascii="Helvetica" w:hAnsi="Helvetica" w:cs="Cambria Math"/>
          <w:sz w:val="20"/>
          <w:szCs w:val="20"/>
        </w:rPr>
        <w:t xml:space="preserve"> the previous quarter (0.9% and 0.1%</w:t>
      </w:r>
      <w:r w:rsidR="003C5CFB">
        <w:rPr>
          <w:rFonts w:ascii="Helvetica" w:hAnsi="Helvetica" w:cs="Cambria Math"/>
          <w:sz w:val="20"/>
          <w:szCs w:val="20"/>
        </w:rPr>
        <w:t>,</w:t>
      </w:r>
      <w:r w:rsidR="00634B6C">
        <w:rPr>
          <w:rFonts w:ascii="Helvetica" w:hAnsi="Helvetica" w:cs="Cambria Math"/>
          <w:sz w:val="20"/>
          <w:szCs w:val="20"/>
        </w:rPr>
        <w:t xml:space="preserve"> respectively). </w:t>
      </w:r>
      <w:r w:rsidR="00AB61AE">
        <w:rPr>
          <w:rFonts w:ascii="Helvetica" w:hAnsi="Helvetica" w:cs="Cambria Math"/>
          <w:sz w:val="20"/>
          <w:szCs w:val="20"/>
        </w:rPr>
        <w:t xml:space="preserve">In </w:t>
      </w:r>
      <w:r w:rsidR="00AB61AE" w:rsidRPr="00AB61AE">
        <w:rPr>
          <w:rFonts w:ascii="Helvetica" w:hAnsi="Helvetica" w:cs="Cambria Math"/>
          <w:b/>
          <w:sz w:val="20"/>
          <w:szCs w:val="20"/>
        </w:rPr>
        <w:t>Italy</w:t>
      </w:r>
      <w:r w:rsidR="00AB61AE" w:rsidRPr="00AB61AE">
        <w:rPr>
          <w:rFonts w:ascii="Helvetica" w:hAnsi="Helvetica" w:cs="Cambria Math"/>
          <w:sz w:val="20"/>
          <w:szCs w:val="20"/>
        </w:rPr>
        <w:t>, GDP</w:t>
      </w:r>
      <w:r w:rsidR="005A3ABF">
        <w:rPr>
          <w:rFonts w:ascii="Helvetica" w:hAnsi="Helvetica" w:cs="Cambria Math"/>
          <w:sz w:val="20"/>
          <w:szCs w:val="20"/>
        </w:rPr>
        <w:t xml:space="preserve"> </w:t>
      </w:r>
      <w:r w:rsidR="009F1421">
        <w:rPr>
          <w:rFonts w:ascii="Helvetica" w:hAnsi="Helvetica" w:cs="Cambria Math"/>
          <w:sz w:val="20"/>
          <w:szCs w:val="20"/>
        </w:rPr>
        <w:t>contracted for</w:t>
      </w:r>
      <w:r w:rsidR="00AB61AE">
        <w:rPr>
          <w:rFonts w:ascii="Helvetica" w:hAnsi="Helvetica" w:cs="Cambria Math"/>
          <w:sz w:val="20"/>
          <w:szCs w:val="20"/>
        </w:rPr>
        <w:t xml:space="preserve"> the sixth consecutive quarter, showing the largest contraction</w:t>
      </w:r>
      <w:r w:rsidR="003C5CFB">
        <w:rPr>
          <w:rFonts w:ascii="Helvetica" w:hAnsi="Helvetica" w:cs="Cambria Math"/>
          <w:sz w:val="20"/>
          <w:szCs w:val="20"/>
        </w:rPr>
        <w:t xml:space="preserve"> </w:t>
      </w:r>
      <w:r w:rsidR="00300C6B">
        <w:rPr>
          <w:rFonts w:ascii="Helvetica" w:hAnsi="Helvetica" w:cs="Cambria Math"/>
          <w:sz w:val="20"/>
          <w:szCs w:val="20"/>
        </w:rPr>
        <w:t xml:space="preserve">(minus 0.9%) </w:t>
      </w:r>
      <w:r w:rsidR="009F1421">
        <w:rPr>
          <w:rFonts w:ascii="Helvetica" w:hAnsi="Helvetica" w:cs="Cambria Math"/>
          <w:sz w:val="20"/>
          <w:szCs w:val="20"/>
        </w:rPr>
        <w:t>since the first quarter of 2009.</w:t>
      </w:r>
      <w:r w:rsidR="003C5CFB">
        <w:rPr>
          <w:rFonts w:ascii="Helvetica" w:hAnsi="Helvetica" w:cs="Cambria Math"/>
          <w:sz w:val="20"/>
          <w:szCs w:val="20"/>
        </w:rPr>
        <w:t xml:space="preserve"> </w:t>
      </w:r>
      <w:r w:rsidR="009F1421">
        <w:rPr>
          <w:rStyle w:val="s6"/>
          <w:rFonts w:ascii="Helvetica" w:hAnsi="Helvetica"/>
          <w:sz w:val="20"/>
          <w:szCs w:val="20"/>
        </w:rPr>
        <w:t xml:space="preserve">In </w:t>
      </w:r>
      <w:r w:rsidR="009F1421" w:rsidRPr="0090583B">
        <w:rPr>
          <w:rStyle w:val="s6"/>
          <w:rFonts w:ascii="Helvetica" w:hAnsi="Helvetica"/>
          <w:b/>
          <w:sz w:val="20"/>
          <w:szCs w:val="20"/>
        </w:rPr>
        <w:t>Japan</w:t>
      </w:r>
      <w:r w:rsidR="009F1421">
        <w:rPr>
          <w:rStyle w:val="s6"/>
          <w:rFonts w:ascii="Helvetica" w:hAnsi="Helvetica"/>
          <w:sz w:val="20"/>
          <w:szCs w:val="20"/>
        </w:rPr>
        <w:t>, GDP decreased by 0.1%</w:t>
      </w:r>
      <w:r w:rsidR="00135E33">
        <w:rPr>
          <w:rStyle w:val="s6"/>
          <w:rFonts w:ascii="Helvetica" w:hAnsi="Helvetica"/>
          <w:sz w:val="20"/>
          <w:szCs w:val="20"/>
        </w:rPr>
        <w:t xml:space="preserve">, </w:t>
      </w:r>
      <w:r w:rsidR="00BA3FE5">
        <w:rPr>
          <w:rStyle w:val="s6"/>
          <w:rFonts w:ascii="Helvetica" w:hAnsi="Helvetica"/>
          <w:sz w:val="20"/>
          <w:szCs w:val="20"/>
        </w:rPr>
        <w:t xml:space="preserve">significantly </w:t>
      </w:r>
      <w:r w:rsidR="00D82CA9">
        <w:rPr>
          <w:rStyle w:val="s6"/>
          <w:rFonts w:ascii="Helvetica" w:hAnsi="Helvetica"/>
          <w:sz w:val="20"/>
          <w:szCs w:val="20"/>
        </w:rPr>
        <w:t xml:space="preserve">less than in </w:t>
      </w:r>
      <w:r w:rsidR="00135E33">
        <w:rPr>
          <w:rStyle w:val="s6"/>
          <w:rFonts w:ascii="Helvetica" w:hAnsi="Helvetica"/>
          <w:sz w:val="20"/>
          <w:szCs w:val="20"/>
        </w:rPr>
        <w:t>the previous quarter</w:t>
      </w:r>
      <w:r w:rsidR="00300C6B">
        <w:rPr>
          <w:rStyle w:val="s6"/>
          <w:rFonts w:ascii="Helvetica" w:hAnsi="Helvetica"/>
          <w:sz w:val="20"/>
          <w:szCs w:val="20"/>
        </w:rPr>
        <w:t xml:space="preserve"> when </w:t>
      </w:r>
      <w:r w:rsidR="00300C6B" w:rsidRPr="00AB61E5">
        <w:rPr>
          <w:rStyle w:val="s6"/>
          <w:rFonts w:ascii="Helvetica" w:hAnsi="Helvetica"/>
          <w:sz w:val="20"/>
          <w:szCs w:val="20"/>
        </w:rPr>
        <w:t xml:space="preserve">Japan </w:t>
      </w:r>
      <w:r w:rsidR="00300C6B">
        <w:rPr>
          <w:rStyle w:val="s6"/>
          <w:rFonts w:ascii="Helvetica" w:hAnsi="Helvetica"/>
          <w:sz w:val="20"/>
          <w:szCs w:val="20"/>
        </w:rPr>
        <w:t xml:space="preserve">recorded the highest slowdown among the Major </w:t>
      </w:r>
      <w:r w:rsidR="00D82CA9">
        <w:rPr>
          <w:rStyle w:val="s6"/>
          <w:rFonts w:ascii="Helvetica" w:hAnsi="Helvetica"/>
          <w:sz w:val="20"/>
          <w:szCs w:val="20"/>
        </w:rPr>
        <w:t>S</w:t>
      </w:r>
      <w:r w:rsidR="00300C6B">
        <w:rPr>
          <w:rStyle w:val="s6"/>
          <w:rFonts w:ascii="Helvetica" w:hAnsi="Helvetica"/>
          <w:sz w:val="20"/>
          <w:szCs w:val="20"/>
        </w:rPr>
        <w:t>even countries</w:t>
      </w:r>
      <w:r w:rsidR="009F1421">
        <w:rPr>
          <w:rStyle w:val="s6"/>
          <w:rFonts w:ascii="Helvetica" w:hAnsi="Helvetica"/>
          <w:sz w:val="20"/>
          <w:szCs w:val="20"/>
        </w:rPr>
        <w:t xml:space="preserve">. </w:t>
      </w:r>
      <w:r w:rsidR="00D82CA9">
        <w:rPr>
          <w:rStyle w:val="s6"/>
          <w:rFonts w:ascii="Helvetica" w:hAnsi="Helvetica"/>
          <w:sz w:val="20"/>
          <w:szCs w:val="20"/>
        </w:rPr>
        <w:t>I</w:t>
      </w:r>
      <w:r w:rsidR="00300C6B">
        <w:rPr>
          <w:rStyle w:val="s6"/>
          <w:rFonts w:ascii="Helvetica" w:hAnsi="Helvetica"/>
          <w:sz w:val="20"/>
          <w:szCs w:val="20"/>
        </w:rPr>
        <w:t xml:space="preserve">n </w:t>
      </w:r>
      <w:r w:rsidR="00300C6B" w:rsidRPr="00D8797C">
        <w:rPr>
          <w:rStyle w:val="s6"/>
          <w:rFonts w:ascii="Helvetica" w:hAnsi="Helvetica"/>
          <w:sz w:val="20"/>
          <w:szCs w:val="20"/>
        </w:rPr>
        <w:t>the </w:t>
      </w:r>
      <w:r w:rsidR="00300C6B" w:rsidRPr="00D8797C">
        <w:rPr>
          <w:rStyle w:val="s10"/>
          <w:rFonts w:ascii="Helvetica" w:hAnsi="Helvetica"/>
          <w:b/>
          <w:bCs/>
          <w:sz w:val="20"/>
          <w:szCs w:val="20"/>
        </w:rPr>
        <w:t>United States</w:t>
      </w:r>
      <w:r w:rsidR="00300C6B" w:rsidRPr="00D8797C">
        <w:rPr>
          <w:rStyle w:val="s6"/>
          <w:rFonts w:ascii="Helvetica" w:hAnsi="Helvetica"/>
          <w:sz w:val="20"/>
          <w:szCs w:val="20"/>
        </w:rPr>
        <w:t>, </w:t>
      </w:r>
      <w:r w:rsidR="00300C6B">
        <w:rPr>
          <w:rStyle w:val="s6"/>
          <w:rFonts w:ascii="Helvetica" w:hAnsi="Helvetica"/>
          <w:sz w:val="20"/>
          <w:szCs w:val="20"/>
        </w:rPr>
        <w:t xml:space="preserve">GDP </w:t>
      </w:r>
      <w:r w:rsidR="00300C6B" w:rsidRPr="00D8797C">
        <w:rPr>
          <w:rStyle w:val="s6"/>
          <w:rFonts w:ascii="Helvetica" w:hAnsi="Helvetica"/>
          <w:sz w:val="20"/>
          <w:szCs w:val="20"/>
        </w:rPr>
        <w:t>growth</w:t>
      </w:r>
      <w:r w:rsidR="00300C6B">
        <w:rPr>
          <w:rStyle w:val="s6"/>
          <w:rFonts w:ascii="Helvetica" w:hAnsi="Helvetica"/>
          <w:sz w:val="20"/>
          <w:szCs w:val="20"/>
        </w:rPr>
        <w:t xml:space="preserve"> strongly</w:t>
      </w:r>
      <w:r w:rsidR="00300C6B" w:rsidRPr="00D8797C">
        <w:rPr>
          <w:rStyle w:val="s6"/>
          <w:rFonts w:ascii="Helvetica" w:hAnsi="Helvetica"/>
          <w:sz w:val="20"/>
          <w:szCs w:val="20"/>
        </w:rPr>
        <w:t> </w:t>
      </w:r>
      <w:r w:rsidR="00300C6B">
        <w:rPr>
          <w:rStyle w:val="s6"/>
          <w:rFonts w:ascii="Helvetica" w:hAnsi="Helvetica"/>
          <w:sz w:val="20"/>
          <w:szCs w:val="20"/>
        </w:rPr>
        <w:t>decelerated from 0.8%</w:t>
      </w:r>
      <w:r w:rsidR="00D82CA9">
        <w:rPr>
          <w:rStyle w:val="s6"/>
          <w:rFonts w:ascii="Helvetica" w:hAnsi="Helvetica"/>
          <w:sz w:val="20"/>
          <w:szCs w:val="20"/>
        </w:rPr>
        <w:t xml:space="preserve"> in the third quarter</w:t>
      </w:r>
      <w:r w:rsidR="00300C6B">
        <w:rPr>
          <w:rStyle w:val="s6"/>
          <w:rFonts w:ascii="Helvetica" w:hAnsi="Helvetica"/>
          <w:sz w:val="20"/>
          <w:szCs w:val="20"/>
        </w:rPr>
        <w:t xml:space="preserve"> </w:t>
      </w:r>
      <w:r w:rsidR="00D82CA9">
        <w:rPr>
          <w:rStyle w:val="s6"/>
          <w:rFonts w:ascii="Helvetica" w:hAnsi="Helvetica"/>
          <w:sz w:val="20"/>
          <w:szCs w:val="20"/>
        </w:rPr>
        <w:t>to</w:t>
      </w:r>
      <w:r w:rsidR="004A31EE">
        <w:rPr>
          <w:rStyle w:val="s6"/>
          <w:rFonts w:ascii="Helvetica" w:hAnsi="Helvetica"/>
          <w:sz w:val="20"/>
          <w:szCs w:val="20"/>
        </w:rPr>
        <w:t xml:space="preserve"> roughly</w:t>
      </w:r>
      <w:r w:rsidR="00D82CA9">
        <w:rPr>
          <w:rStyle w:val="s6"/>
          <w:rFonts w:ascii="Helvetica" w:hAnsi="Helvetica"/>
          <w:sz w:val="20"/>
          <w:szCs w:val="20"/>
        </w:rPr>
        <w:t xml:space="preserve"> </w:t>
      </w:r>
      <w:r w:rsidR="00300C6B">
        <w:rPr>
          <w:rStyle w:val="s6"/>
          <w:rFonts w:ascii="Helvetica" w:hAnsi="Helvetica"/>
          <w:sz w:val="20"/>
          <w:szCs w:val="20"/>
        </w:rPr>
        <w:t>0.0%</w:t>
      </w:r>
      <w:r w:rsidR="00D82CA9">
        <w:rPr>
          <w:rStyle w:val="s6"/>
          <w:rFonts w:ascii="Helvetica" w:hAnsi="Helvetica"/>
          <w:sz w:val="20"/>
          <w:szCs w:val="20"/>
        </w:rPr>
        <w:t xml:space="preserve"> in the fourth quarter</w:t>
      </w:r>
      <w:r w:rsidR="00300C6B">
        <w:rPr>
          <w:rStyle w:val="s6"/>
          <w:rFonts w:ascii="Helvetica" w:hAnsi="Helvetica"/>
          <w:sz w:val="20"/>
          <w:szCs w:val="20"/>
        </w:rPr>
        <w:t>.</w:t>
      </w:r>
      <w:r w:rsidR="00300C6B" w:rsidRPr="00D8797C">
        <w:rPr>
          <w:rStyle w:val="s6"/>
          <w:rFonts w:ascii="Helvetica" w:hAnsi="Helvetica"/>
          <w:sz w:val="20"/>
          <w:szCs w:val="20"/>
        </w:rPr>
        <w:t> </w:t>
      </w:r>
    </w:p>
    <w:p w14:paraId="4661053A" w14:textId="77777777" w:rsidR="000B22FC" w:rsidRPr="00380134" w:rsidRDefault="000B22FC" w:rsidP="000B22FC">
      <w:pPr>
        <w:pStyle w:val="s12"/>
        <w:spacing w:before="0" w:beforeAutospacing="0" w:after="0" w:afterAutospacing="0"/>
        <w:ind w:right="-170"/>
        <w:jc w:val="both"/>
        <w:rPr>
          <w:rFonts w:ascii="Helvetica" w:hAnsi="Helvetica"/>
          <w:sz w:val="8"/>
          <w:szCs w:val="8"/>
        </w:rPr>
      </w:pPr>
      <w:r w:rsidRPr="00380134">
        <w:rPr>
          <w:rFonts w:ascii="Helvetica" w:hAnsi="Helvetica" w:cs="Cambria Math"/>
          <w:sz w:val="8"/>
          <w:szCs w:val="8"/>
        </w:rPr>
        <w:tab/>
      </w:r>
      <w:r w:rsidRPr="00380134">
        <w:rPr>
          <w:rFonts w:ascii="Helvetica" w:hAnsi="Helvetica" w:cs="Cambria Math"/>
          <w:sz w:val="8"/>
          <w:szCs w:val="8"/>
        </w:rPr>
        <w:tab/>
      </w:r>
      <w:r w:rsidRPr="00380134">
        <w:rPr>
          <w:rStyle w:val="s6"/>
          <w:rFonts w:ascii="Helvetica" w:hAnsi="Helvetica"/>
          <w:sz w:val="8"/>
          <w:szCs w:val="8"/>
        </w:rPr>
        <w:t> </w:t>
      </w:r>
    </w:p>
    <w:p w14:paraId="13124DE7" w14:textId="77777777" w:rsidR="0090583B" w:rsidRPr="00380134" w:rsidRDefault="000B22FC" w:rsidP="0090583B">
      <w:pPr>
        <w:pStyle w:val="s12"/>
        <w:spacing w:before="0" w:beforeAutospacing="0" w:after="0" w:afterAutospacing="0"/>
        <w:ind w:right="-105"/>
        <w:jc w:val="both"/>
        <w:rPr>
          <w:rStyle w:val="s6"/>
          <w:rFonts w:ascii="Helvetica" w:hAnsi="Helvetica"/>
          <w:sz w:val="8"/>
          <w:szCs w:val="8"/>
        </w:rPr>
      </w:pPr>
      <w:r w:rsidRPr="00687255">
        <w:rPr>
          <w:rFonts w:ascii="Helvetica" w:hAnsi="Helvetica"/>
          <w:sz w:val="16"/>
          <w:szCs w:val="16"/>
        </w:rPr>
        <w:t> </w:t>
      </w:r>
      <w:r w:rsidRPr="00D8797C">
        <w:rPr>
          <w:rFonts w:ascii="Helvetica" w:hAnsi="Helvetica" w:cs="Cambria Math"/>
          <w:sz w:val="20"/>
          <w:szCs w:val="20"/>
        </w:rPr>
        <w:tab/>
      </w:r>
      <w:r>
        <w:rPr>
          <w:rFonts w:ascii="Helvetica" w:hAnsi="Helvetica" w:cs="Cambria Math"/>
          <w:sz w:val="20"/>
          <w:szCs w:val="20"/>
        </w:rPr>
        <w:tab/>
      </w:r>
      <w:r w:rsidRPr="00D8797C">
        <w:rPr>
          <w:rStyle w:val="s6"/>
          <w:rFonts w:ascii="Helvetica" w:hAnsi="Helvetica"/>
          <w:sz w:val="20"/>
          <w:szCs w:val="20"/>
        </w:rPr>
        <w:t xml:space="preserve">Compared with the </w:t>
      </w:r>
      <w:r w:rsidR="00D82CA9">
        <w:rPr>
          <w:rStyle w:val="s6"/>
          <w:rFonts w:ascii="Helvetica" w:hAnsi="Helvetica"/>
          <w:sz w:val="20"/>
          <w:szCs w:val="20"/>
        </w:rPr>
        <w:t>fourth</w:t>
      </w:r>
      <w:r w:rsidRPr="00D8797C">
        <w:rPr>
          <w:rStyle w:val="s6"/>
          <w:rFonts w:ascii="Helvetica" w:hAnsi="Helvetica"/>
          <w:sz w:val="20"/>
          <w:szCs w:val="20"/>
        </w:rPr>
        <w:t xml:space="preserve"> quarter of 2011, GDP growth </w:t>
      </w:r>
      <w:r w:rsidR="00D82CA9">
        <w:rPr>
          <w:rStyle w:val="s6"/>
          <w:rFonts w:ascii="Helvetica" w:hAnsi="Helvetica"/>
          <w:sz w:val="20"/>
          <w:szCs w:val="20"/>
        </w:rPr>
        <w:t xml:space="preserve">for the </w:t>
      </w:r>
      <w:r w:rsidR="00D82CA9" w:rsidRPr="00B17814">
        <w:rPr>
          <w:rStyle w:val="s6"/>
          <w:rFonts w:ascii="Helvetica" w:hAnsi="Helvetica"/>
          <w:b/>
          <w:sz w:val="20"/>
          <w:szCs w:val="20"/>
        </w:rPr>
        <w:t>OECD area</w:t>
      </w:r>
      <w:r w:rsidR="00D82CA9">
        <w:rPr>
          <w:rStyle w:val="s6"/>
          <w:rFonts w:ascii="Helvetica" w:hAnsi="Helvetica"/>
          <w:sz w:val="20"/>
          <w:szCs w:val="20"/>
        </w:rPr>
        <w:t xml:space="preserve"> </w:t>
      </w:r>
      <w:r w:rsidRPr="00D8797C">
        <w:rPr>
          <w:rStyle w:val="s6"/>
          <w:rFonts w:ascii="Helvetica" w:hAnsi="Helvetica"/>
          <w:sz w:val="20"/>
          <w:szCs w:val="20"/>
        </w:rPr>
        <w:t>slowed to </w:t>
      </w:r>
      <w:r w:rsidR="009F1421">
        <w:rPr>
          <w:rStyle w:val="s6"/>
          <w:rFonts w:ascii="Helvetica" w:hAnsi="Helvetica"/>
          <w:sz w:val="20"/>
          <w:szCs w:val="20"/>
        </w:rPr>
        <w:t>0</w:t>
      </w:r>
      <w:r w:rsidRPr="00D8797C">
        <w:rPr>
          <w:rStyle w:val="s6"/>
          <w:rFonts w:ascii="Helvetica" w:hAnsi="Helvetica"/>
          <w:sz w:val="20"/>
          <w:szCs w:val="20"/>
        </w:rPr>
        <w:t>.</w:t>
      </w:r>
      <w:r w:rsidR="009F1421">
        <w:rPr>
          <w:rStyle w:val="s6"/>
          <w:rFonts w:ascii="Helvetica" w:hAnsi="Helvetica"/>
          <w:sz w:val="20"/>
          <w:szCs w:val="20"/>
        </w:rPr>
        <w:t>7%</w:t>
      </w:r>
      <w:r w:rsidRPr="00D8797C">
        <w:rPr>
          <w:rStyle w:val="s6"/>
          <w:rFonts w:ascii="Helvetica" w:hAnsi="Helvetica"/>
          <w:sz w:val="20"/>
          <w:szCs w:val="20"/>
        </w:rPr>
        <w:t>, down from 1.</w:t>
      </w:r>
      <w:r w:rsidR="009F1421">
        <w:rPr>
          <w:rStyle w:val="s6"/>
          <w:rFonts w:ascii="Helvetica" w:hAnsi="Helvetica"/>
          <w:sz w:val="20"/>
          <w:szCs w:val="20"/>
        </w:rPr>
        <w:t>2</w:t>
      </w:r>
      <w:r w:rsidRPr="00D8797C">
        <w:rPr>
          <w:rStyle w:val="s6"/>
          <w:rFonts w:ascii="Helvetica" w:hAnsi="Helvetica"/>
          <w:sz w:val="20"/>
          <w:szCs w:val="20"/>
        </w:rPr>
        <w:t xml:space="preserve">% in the </w:t>
      </w:r>
      <w:r w:rsidR="00D82CA9">
        <w:rPr>
          <w:rStyle w:val="s6"/>
          <w:rFonts w:ascii="Helvetica" w:hAnsi="Helvetica"/>
          <w:sz w:val="20"/>
          <w:szCs w:val="20"/>
        </w:rPr>
        <w:t>third</w:t>
      </w:r>
      <w:r w:rsidRPr="00D8797C">
        <w:rPr>
          <w:rStyle w:val="s6"/>
          <w:rFonts w:ascii="Helvetica" w:hAnsi="Helvetica"/>
          <w:sz w:val="20"/>
          <w:szCs w:val="20"/>
        </w:rPr>
        <w:t xml:space="preserve"> quarter. Among the</w:t>
      </w:r>
      <w:r w:rsidRPr="00D8797C">
        <w:rPr>
          <w:rStyle w:val="s10"/>
          <w:rFonts w:ascii="Helvetica" w:hAnsi="Helvetica"/>
          <w:b/>
          <w:bCs/>
          <w:sz w:val="20"/>
          <w:szCs w:val="20"/>
        </w:rPr>
        <w:t> </w:t>
      </w:r>
      <w:r w:rsidRPr="00AB61E5">
        <w:rPr>
          <w:rStyle w:val="s10"/>
          <w:rFonts w:ascii="Helvetica" w:hAnsi="Helvetica"/>
          <w:b/>
          <w:bCs/>
          <w:sz w:val="20"/>
          <w:szCs w:val="20"/>
        </w:rPr>
        <w:t>Major Seven</w:t>
      </w:r>
      <w:r w:rsidRPr="00D82CA9">
        <w:rPr>
          <w:rStyle w:val="s6"/>
          <w:rFonts w:ascii="Helvetica" w:hAnsi="Helvetica"/>
          <w:sz w:val="20"/>
          <w:szCs w:val="20"/>
        </w:rPr>
        <w:t> </w:t>
      </w:r>
      <w:r w:rsidRPr="00D8797C">
        <w:rPr>
          <w:rStyle w:val="s6"/>
          <w:rFonts w:ascii="Helvetica" w:hAnsi="Helvetica"/>
          <w:sz w:val="20"/>
          <w:szCs w:val="20"/>
        </w:rPr>
        <w:t>economies, the </w:t>
      </w:r>
      <w:r w:rsidRPr="00D8797C">
        <w:rPr>
          <w:rStyle w:val="s10"/>
          <w:rFonts w:ascii="Helvetica" w:hAnsi="Helvetica"/>
          <w:b/>
          <w:bCs/>
          <w:sz w:val="20"/>
          <w:szCs w:val="20"/>
        </w:rPr>
        <w:t>United States</w:t>
      </w:r>
      <w:r w:rsidRPr="00D8797C">
        <w:rPr>
          <w:rStyle w:val="s6"/>
          <w:rFonts w:ascii="Helvetica" w:hAnsi="Helvetica"/>
          <w:sz w:val="20"/>
          <w:szCs w:val="20"/>
        </w:rPr>
        <w:t> recorded the highest growth rate (</w:t>
      </w:r>
      <w:r w:rsidR="009F1421">
        <w:rPr>
          <w:rStyle w:val="s6"/>
          <w:rFonts w:ascii="Helvetica" w:hAnsi="Helvetica"/>
          <w:sz w:val="20"/>
          <w:szCs w:val="20"/>
        </w:rPr>
        <w:t>1.5</w:t>
      </w:r>
      <w:r w:rsidRPr="00D8797C">
        <w:rPr>
          <w:rStyle w:val="s6"/>
          <w:rFonts w:ascii="Helvetica" w:hAnsi="Helvetica"/>
          <w:sz w:val="20"/>
          <w:szCs w:val="20"/>
        </w:rPr>
        <w:t>%) and </w:t>
      </w:r>
      <w:r w:rsidRPr="00D8797C">
        <w:rPr>
          <w:rStyle w:val="s10"/>
          <w:rFonts w:ascii="Helvetica" w:hAnsi="Helvetica"/>
          <w:b/>
          <w:bCs/>
          <w:sz w:val="20"/>
          <w:szCs w:val="20"/>
        </w:rPr>
        <w:t>Italy</w:t>
      </w:r>
      <w:r w:rsidRPr="00D8797C">
        <w:rPr>
          <w:rStyle w:val="s6"/>
          <w:rFonts w:ascii="Helvetica" w:hAnsi="Helvetica"/>
          <w:sz w:val="20"/>
          <w:szCs w:val="20"/>
        </w:rPr>
        <w:t xml:space="preserve"> the </w:t>
      </w:r>
      <w:r w:rsidR="004A31EE">
        <w:rPr>
          <w:rStyle w:val="s6"/>
          <w:rFonts w:ascii="Helvetica" w:hAnsi="Helvetica"/>
          <w:sz w:val="20"/>
          <w:szCs w:val="20"/>
        </w:rPr>
        <w:t xml:space="preserve">largest contraction </w:t>
      </w:r>
      <w:r w:rsidRPr="00D8797C">
        <w:rPr>
          <w:rStyle w:val="s6"/>
          <w:rFonts w:ascii="Helvetica" w:hAnsi="Helvetica"/>
          <w:sz w:val="20"/>
          <w:szCs w:val="20"/>
        </w:rPr>
        <w:t>(minus 2.</w:t>
      </w:r>
      <w:r w:rsidR="009F1421">
        <w:rPr>
          <w:rStyle w:val="s6"/>
          <w:rFonts w:ascii="Helvetica" w:hAnsi="Helvetica"/>
          <w:sz w:val="20"/>
          <w:szCs w:val="20"/>
        </w:rPr>
        <w:t>7</w:t>
      </w:r>
      <w:r w:rsidRPr="00D8797C">
        <w:rPr>
          <w:rStyle w:val="s6"/>
          <w:rFonts w:ascii="Helvetica" w:hAnsi="Helvetica"/>
          <w:sz w:val="20"/>
          <w:szCs w:val="20"/>
        </w:rPr>
        <w:t>%).</w:t>
      </w:r>
    </w:p>
    <w:p w14:paraId="40434380" w14:textId="77777777" w:rsidR="0090583B" w:rsidRPr="00380134" w:rsidRDefault="0090583B" w:rsidP="0090583B">
      <w:pPr>
        <w:pStyle w:val="s12"/>
        <w:spacing w:before="0" w:beforeAutospacing="0" w:after="0" w:afterAutospacing="0"/>
        <w:ind w:right="-105"/>
        <w:jc w:val="both"/>
        <w:rPr>
          <w:rStyle w:val="s6"/>
          <w:rFonts w:ascii="Helvetica" w:hAnsi="Helvetica"/>
          <w:sz w:val="8"/>
          <w:szCs w:val="8"/>
        </w:rPr>
      </w:pPr>
    </w:p>
    <w:p w14:paraId="6F816242" w14:textId="77777777" w:rsidR="00083A00" w:rsidRPr="00D8797C" w:rsidRDefault="00D82CA9" w:rsidP="0090583B">
      <w:pPr>
        <w:pStyle w:val="s12"/>
        <w:spacing w:before="0" w:beforeAutospacing="0" w:after="0" w:afterAutospacing="0"/>
        <w:ind w:left="340" w:right="-105" w:firstLine="340"/>
        <w:jc w:val="both"/>
        <w:rPr>
          <w:rFonts w:ascii="Helvetica" w:hAnsi="Helvetica"/>
          <w:sz w:val="20"/>
          <w:szCs w:val="20"/>
        </w:rPr>
      </w:pPr>
      <w:r>
        <w:rPr>
          <w:rStyle w:val="s6"/>
          <w:rFonts w:ascii="Helvetica" w:hAnsi="Helvetica"/>
          <w:sz w:val="20"/>
          <w:szCs w:val="20"/>
        </w:rPr>
        <w:t>For</w:t>
      </w:r>
      <w:r w:rsidR="00083A00">
        <w:rPr>
          <w:rStyle w:val="s6"/>
          <w:rFonts w:ascii="Helvetica" w:hAnsi="Helvetica"/>
          <w:sz w:val="20"/>
          <w:szCs w:val="20"/>
        </w:rPr>
        <w:t xml:space="preserve"> 2012</w:t>
      </w:r>
      <w:r>
        <w:rPr>
          <w:rStyle w:val="s6"/>
          <w:rFonts w:ascii="Helvetica" w:hAnsi="Helvetica"/>
          <w:sz w:val="20"/>
          <w:szCs w:val="20"/>
        </w:rPr>
        <w:t xml:space="preserve"> as a whole</w:t>
      </w:r>
      <w:r w:rsidR="00083A00">
        <w:rPr>
          <w:rStyle w:val="s6"/>
          <w:rFonts w:ascii="Helvetica" w:hAnsi="Helvetica"/>
          <w:sz w:val="20"/>
          <w:szCs w:val="20"/>
        </w:rPr>
        <w:t xml:space="preserve">, GDP expanded by 1.3% in the </w:t>
      </w:r>
      <w:r w:rsidR="00083A00" w:rsidRPr="0090583B">
        <w:rPr>
          <w:rStyle w:val="s6"/>
          <w:rFonts w:ascii="Helvetica" w:hAnsi="Helvetica"/>
          <w:b/>
          <w:sz w:val="20"/>
          <w:szCs w:val="20"/>
        </w:rPr>
        <w:t>OECD</w:t>
      </w:r>
      <w:r w:rsidR="00083A00">
        <w:rPr>
          <w:rStyle w:val="s6"/>
          <w:rFonts w:ascii="Helvetica" w:hAnsi="Helvetica"/>
          <w:sz w:val="20"/>
          <w:szCs w:val="20"/>
        </w:rPr>
        <w:t xml:space="preserve"> </w:t>
      </w:r>
      <w:r w:rsidR="00083A00" w:rsidRPr="0090583B">
        <w:rPr>
          <w:rStyle w:val="s6"/>
          <w:rFonts w:ascii="Helvetica" w:hAnsi="Helvetica"/>
          <w:b/>
          <w:sz w:val="20"/>
          <w:szCs w:val="20"/>
        </w:rPr>
        <w:t>area</w:t>
      </w:r>
      <w:r w:rsidR="00083A00">
        <w:rPr>
          <w:rStyle w:val="s6"/>
          <w:rFonts w:ascii="Helvetica" w:hAnsi="Helvetica"/>
          <w:sz w:val="20"/>
          <w:szCs w:val="20"/>
        </w:rPr>
        <w:t xml:space="preserve">, </w:t>
      </w:r>
      <w:r>
        <w:rPr>
          <w:rStyle w:val="s6"/>
          <w:rFonts w:ascii="Helvetica" w:hAnsi="Helvetica"/>
          <w:sz w:val="20"/>
          <w:szCs w:val="20"/>
        </w:rPr>
        <w:t xml:space="preserve">compared </w:t>
      </w:r>
      <w:r w:rsidR="00380134">
        <w:rPr>
          <w:rStyle w:val="s6"/>
          <w:rFonts w:ascii="Helvetica" w:hAnsi="Helvetica"/>
          <w:sz w:val="20"/>
          <w:szCs w:val="20"/>
        </w:rPr>
        <w:t>with</w:t>
      </w:r>
      <w:r w:rsidR="00083A00">
        <w:rPr>
          <w:rStyle w:val="s6"/>
          <w:rFonts w:ascii="Helvetica" w:hAnsi="Helvetica"/>
          <w:sz w:val="20"/>
          <w:szCs w:val="20"/>
        </w:rPr>
        <w:t xml:space="preserve"> 1.9% in 2011.</w:t>
      </w:r>
    </w:p>
    <w:p w14:paraId="51A3793C" w14:textId="77777777" w:rsidR="00A041E9" w:rsidRDefault="00A041E9" w:rsidP="00A041E9">
      <w:pPr>
        <w:ind w:right="-143"/>
        <w:rPr>
          <w:rFonts w:ascii="Arial Narrow" w:hAnsi="Arial Narrow" w:cs="Arial"/>
          <w:b/>
          <w:bCs/>
          <w:sz w:val="20"/>
          <w:lang w:val="en-US"/>
        </w:rPr>
      </w:pPr>
    </w:p>
    <w:p w14:paraId="076EC4FF" w14:textId="77777777" w:rsidR="004A2719" w:rsidRPr="004A2719" w:rsidRDefault="001269D0" w:rsidP="009B109F">
      <w:pPr>
        <w:pStyle w:val="Div"/>
        <w:spacing w:after="280" w:afterAutospacing="1"/>
        <w:ind w:hanging="284"/>
        <w:jc w:val="center"/>
        <w:rPr>
          <w:rFonts w:ascii="Helvetica" w:hAnsi="Helvetica"/>
          <w:sz w:val="6"/>
          <w:szCs w:val="6"/>
          <w:lang w:val="en-US"/>
        </w:rPr>
      </w:pPr>
      <w:r w:rsidRPr="001728E7">
        <w:rPr>
          <w:rFonts w:ascii="Arial Narrow" w:hAnsi="Arial Narrow" w:cs="Arial"/>
          <w:b/>
          <w:bCs/>
          <w:sz w:val="20"/>
          <w:szCs w:val="20"/>
          <w:lang w:val="en-US"/>
        </w:rPr>
        <w:t>G</w:t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>ross domestic product</w:t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br/>
      </w:r>
      <w:r w:rsidRPr="001728E7">
        <w:rPr>
          <w:rFonts w:ascii="Arial Narrow" w:hAnsi="Arial Narrow" w:cs="Arial"/>
          <w:i/>
          <w:iCs/>
          <w:sz w:val="20"/>
          <w:szCs w:val="20"/>
          <w:lang w:val="en-US"/>
        </w:rPr>
        <w:t>Percentage change on the previous quarter, seasonally adjusted data</w:t>
      </w:r>
      <w:r w:rsidR="00F04B3A">
        <w:rPr>
          <w:rFonts w:ascii="Arial Narrow" w:hAnsi="Arial Narrow" w:cs="Arial"/>
          <w:i/>
          <w:iCs/>
          <w:sz w:val="20"/>
          <w:szCs w:val="20"/>
          <w:lang w:val="en-US"/>
        </w:rPr>
        <w:br/>
      </w:r>
      <w:r w:rsidR="00324B8B">
        <w:rPr>
          <w:rFonts w:ascii="Helvetica" w:hAnsi="Helvetica"/>
          <w:sz w:val="6"/>
          <w:szCs w:val="6"/>
          <w:lang w:val="en-US"/>
        </w:rPr>
        <w:t>z</w:t>
      </w:r>
      <w:r w:rsidR="008274E2">
        <w:rPr>
          <w:rFonts w:ascii="Helvetica" w:hAnsi="Helvetica"/>
          <w:noProof/>
          <w:sz w:val="6"/>
          <w:szCs w:val="6"/>
          <w:lang w:val="en-US" w:eastAsia="ja-JP"/>
        </w:rPr>
        <w:drawing>
          <wp:inline distT="0" distB="0" distL="0" distR="0" wp14:anchorId="2A2BE0E0" wp14:editId="705EB3E9">
            <wp:extent cx="5238750" cy="2562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82814" w14:textId="77777777" w:rsidR="003801D9" w:rsidRDefault="00123E5D" w:rsidP="00754CBD">
      <w:pPr>
        <w:pStyle w:val="Div"/>
        <w:spacing w:before="100" w:beforeAutospacing="1" w:after="100" w:afterAutospacing="1"/>
        <w:ind w:firstLine="340"/>
        <w:rPr>
          <w:rFonts w:ascii="Helvetica" w:hAnsi="Helvetica"/>
          <w:color w:val="auto"/>
          <w:sz w:val="14"/>
          <w:szCs w:val="14"/>
          <w:shd w:val="clear" w:color="auto" w:fill="auto"/>
          <w:lang w:val="en-GB" w:eastAsia="en-US"/>
        </w:rPr>
      </w:pPr>
      <w:r w:rsidRPr="00123E5D">
        <w:rPr>
          <w:rFonts w:ascii="Helvetica" w:hAnsi="Helvetica"/>
          <w:color w:val="auto"/>
          <w:sz w:val="14"/>
          <w:szCs w:val="14"/>
          <w:u w:val="single"/>
          <w:shd w:val="clear" w:color="auto" w:fill="auto"/>
          <w:lang w:val="en-GB" w:eastAsia="en-US"/>
        </w:rPr>
        <w:t>Note</w:t>
      </w:r>
      <w:r>
        <w:rPr>
          <w:rFonts w:ascii="Helvetica" w:hAnsi="Helvetica"/>
          <w:color w:val="auto"/>
          <w:sz w:val="14"/>
          <w:szCs w:val="14"/>
          <w:shd w:val="clear" w:color="auto" w:fill="auto"/>
          <w:lang w:val="en-GB" w:eastAsia="en-US"/>
        </w:rPr>
        <w:t>: G</w:t>
      </w:r>
      <w:r w:rsidR="004A2719" w:rsidRPr="006D406D">
        <w:rPr>
          <w:rFonts w:ascii="Helvetica" w:hAnsi="Helvetica"/>
          <w:color w:val="auto"/>
          <w:sz w:val="14"/>
          <w:szCs w:val="14"/>
          <w:shd w:val="clear" w:color="auto" w:fill="auto"/>
          <w:lang w:val="en-GB" w:eastAsia="en-US"/>
        </w:rPr>
        <w:t>r</w:t>
      </w:r>
      <w:r w:rsidR="00C26C47" w:rsidRPr="006D406D">
        <w:rPr>
          <w:rFonts w:ascii="Helvetica" w:hAnsi="Helvetica"/>
          <w:color w:val="auto"/>
          <w:sz w:val="14"/>
          <w:szCs w:val="14"/>
          <w:shd w:val="clear" w:color="auto" w:fill="auto"/>
          <w:lang w:val="en-GB" w:eastAsia="en-US"/>
        </w:rPr>
        <w:t xml:space="preserve">owth rate </w:t>
      </w:r>
      <w:r>
        <w:rPr>
          <w:rFonts w:ascii="Helvetica" w:hAnsi="Helvetica"/>
          <w:color w:val="auto"/>
          <w:sz w:val="14"/>
          <w:szCs w:val="14"/>
          <w:shd w:val="clear" w:color="auto" w:fill="auto"/>
          <w:lang w:val="en-GB" w:eastAsia="en-US"/>
        </w:rPr>
        <w:t>presented in this chart are based on data with more than one decimal</w:t>
      </w:r>
      <w:r w:rsidR="00F04B3A" w:rsidRPr="006D406D">
        <w:rPr>
          <w:rFonts w:ascii="Helvetica" w:hAnsi="Helvetica"/>
          <w:color w:val="auto"/>
          <w:sz w:val="14"/>
          <w:szCs w:val="14"/>
          <w:shd w:val="clear" w:color="auto" w:fill="auto"/>
          <w:lang w:val="en-GB" w:eastAsia="en-US"/>
        </w:rPr>
        <w:t>.</w:t>
      </w:r>
    </w:p>
    <w:tbl>
      <w:tblPr>
        <w:tblW w:w="0" w:type="auto"/>
        <w:tblBorders>
          <w:top w:val="single" w:sz="6" w:space="0" w:color="548DD4"/>
        </w:tblBorders>
        <w:shd w:val="clear" w:color="auto" w:fill="DBE5F1"/>
        <w:tblLook w:val="04A0" w:firstRow="1" w:lastRow="0" w:firstColumn="1" w:lastColumn="0" w:noHBand="0" w:noVBand="1"/>
      </w:tblPr>
      <w:tblGrid>
        <w:gridCol w:w="9685"/>
      </w:tblGrid>
      <w:tr w:rsidR="00F40248" w14:paraId="59DB1EFF" w14:textId="77777777" w:rsidTr="00127FDD">
        <w:tc>
          <w:tcPr>
            <w:tcW w:w="9685" w:type="dxa"/>
            <w:shd w:val="clear" w:color="auto" w:fill="DBE5F1"/>
          </w:tcPr>
          <w:p w14:paraId="65765F01" w14:textId="77777777" w:rsidR="00AB26CF" w:rsidRPr="00127FDD" w:rsidRDefault="00F40248" w:rsidP="00127FDD">
            <w:pPr>
              <w:autoSpaceDE w:val="0"/>
              <w:autoSpaceDN w:val="0"/>
              <w:adjustRightInd w:val="0"/>
              <w:spacing w:line="240" w:lineRule="exact"/>
              <w:rPr>
                <w:rFonts w:ascii="Helvetica" w:hAnsi="Helvetica" w:cs="HelveticaNeueLTStd-Hv"/>
                <w:sz w:val="16"/>
                <w:szCs w:val="16"/>
                <w:lang w:eastAsia="zh-CN"/>
              </w:rPr>
            </w:pPr>
            <w:r w:rsidRPr="00127FDD">
              <w:rPr>
                <w:rFonts w:ascii="Helvetica" w:hAnsi="Helvetica" w:cs="HelveticaNeueLTStd-Hv"/>
                <w:b/>
                <w:color w:val="548DD4"/>
                <w:sz w:val="16"/>
                <w:szCs w:val="16"/>
                <w:lang w:eastAsia="zh-CN"/>
              </w:rPr>
              <w:t xml:space="preserve">&gt;&gt; </w:t>
            </w:r>
            <w:r w:rsidRPr="00127FDD">
              <w:rPr>
                <w:rFonts w:ascii="Helvetica" w:hAnsi="Helvetica" w:cs="HelveticaNeueLTStd-Hv"/>
                <w:b/>
                <w:sz w:val="16"/>
                <w:szCs w:val="16"/>
                <w:lang w:eastAsia="zh-CN"/>
              </w:rPr>
              <w:t>Methodological Notes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:</w:t>
            </w:r>
          </w:p>
          <w:p w14:paraId="09279E1B" w14:textId="77777777" w:rsidR="007243FE" w:rsidRDefault="00AB26CF" w:rsidP="00AB26CF">
            <w:pPr>
              <w:rPr>
                <w:rFonts w:ascii="Helvetica" w:hAnsi="Helvetica" w:cs="HelveticaNeueLTStd-Hv"/>
                <w:sz w:val="16"/>
                <w:szCs w:val="16"/>
                <w:lang w:eastAsia="zh-CN"/>
              </w:rPr>
            </w:pP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Further methodological information can be downloaded from</w:t>
            </w:r>
            <w:r w:rsidR="007243FE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:</w:t>
            </w:r>
          </w:p>
          <w:p w14:paraId="4FE92522" w14:textId="77777777" w:rsidR="007243FE" w:rsidRDefault="00004AFB" w:rsidP="00AB26CF">
            <w:hyperlink r:id="rId9" w:history="1">
              <w:r w:rsidR="00CE21FB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http://www.oecd.org/std/na/OECDQuarterlyGDPGrowth_Methodology_EN.pdf</w:t>
              </w:r>
            </w:hyperlink>
            <w:r w:rsidR="000B22FC">
              <w:t xml:space="preserve"> </w:t>
            </w:r>
          </w:p>
          <w:p w14:paraId="3E427373" w14:textId="77777777" w:rsidR="00F40248" w:rsidRDefault="00AB26CF" w:rsidP="00AB26CF"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and</w:t>
            </w:r>
            <w:r>
              <w:t xml:space="preserve"> </w:t>
            </w:r>
            <w:hyperlink r:id="rId10" w:history="1">
              <w:r w:rsidRPr="00127FDD">
                <w:rPr>
                  <w:rStyle w:val="Hyperlink"/>
                  <w:rFonts w:ascii="Helvetica" w:hAnsi="Helvetica" w:cs="HelveticaNeueLTStd-Hv"/>
                  <w:sz w:val="16"/>
                  <w:szCs w:val="16"/>
                  <w:lang w:eastAsia="zh-CN"/>
                </w:rPr>
                <w:t>http://www.oecd.org/dataoecd/44/19/49874640.pdf</w:t>
              </w:r>
            </w:hyperlink>
            <w:r w:rsidR="008A0E4A">
              <w:t>.</w:t>
            </w:r>
          </w:p>
          <w:p w14:paraId="1653E469" w14:textId="77777777" w:rsidR="005E7D92" w:rsidRPr="00127FDD" w:rsidRDefault="005E7D92" w:rsidP="00127FDD">
            <w:pPr>
              <w:outlineLvl w:val="0"/>
              <w:rPr>
                <w:sz w:val="8"/>
                <w:szCs w:val="8"/>
              </w:rPr>
            </w:pPr>
          </w:p>
          <w:p w14:paraId="2B6E5D9F" w14:textId="77777777" w:rsidR="00F40248" w:rsidRPr="00127FDD" w:rsidRDefault="00F40248" w:rsidP="00127FDD">
            <w:pPr>
              <w:autoSpaceDE w:val="0"/>
              <w:autoSpaceDN w:val="0"/>
              <w:adjustRightInd w:val="0"/>
              <w:spacing w:line="240" w:lineRule="exact"/>
              <w:rPr>
                <w:rFonts w:ascii="Helvetica" w:hAnsi="Helvetica" w:cs="HelveticaNeueLTStd-Hv"/>
                <w:sz w:val="16"/>
                <w:szCs w:val="16"/>
                <w:lang w:eastAsia="zh-CN"/>
              </w:rPr>
            </w:pPr>
            <w:r w:rsidRPr="00127FDD">
              <w:rPr>
                <w:rFonts w:ascii="Helvetica" w:hAnsi="Helvetica" w:cs="HelveticaNeueLTStd-Hv"/>
                <w:b/>
                <w:color w:val="548DD4"/>
                <w:sz w:val="16"/>
                <w:szCs w:val="16"/>
                <w:lang w:eastAsia="zh-CN"/>
              </w:rPr>
              <w:t>&gt;&gt;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 </w:t>
            </w:r>
            <w:r w:rsidRPr="00127FDD">
              <w:rPr>
                <w:rFonts w:ascii="Helvetica" w:hAnsi="Helvetica" w:cs="HelveticaNeueLTStd-Hv"/>
                <w:b/>
                <w:sz w:val="16"/>
                <w:szCs w:val="16"/>
                <w:lang w:eastAsia="zh-CN"/>
              </w:rPr>
              <w:t>Access data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:</w:t>
            </w:r>
          </w:p>
          <w:p w14:paraId="440A6F8F" w14:textId="77777777" w:rsidR="00F40248" w:rsidRPr="00127FDD" w:rsidRDefault="00F40248" w:rsidP="00127FDD">
            <w:pPr>
              <w:outlineLvl w:val="0"/>
              <w:rPr>
                <w:rStyle w:val="Hyperlink"/>
                <w:rFonts w:cs="HelveticaNeueLTStd-Hv"/>
                <w:sz w:val="16"/>
                <w:szCs w:val="16"/>
                <w:lang w:eastAsia="zh-CN"/>
              </w:rPr>
            </w:pP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Quarterly real GDP growth rates for all OECD countries and geographic groupings, as well as historical data, can be downloaded from the OECD online data dissemination facility </w:t>
            </w:r>
            <w:proofErr w:type="spellStart"/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OECD.Stat</w:t>
            </w:r>
            <w:proofErr w:type="spellEnd"/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 at</w:t>
            </w:r>
            <w:r w:rsidRPr="00127FDD">
              <w:rPr>
                <w:rFonts w:ascii="Helvetica" w:hAnsi="Helvetica" w:cs="Arial"/>
                <w:sz w:val="20"/>
              </w:rPr>
              <w:t xml:space="preserve">: </w:t>
            </w:r>
            <w:hyperlink r:id="rId11" w:history="1">
              <w:r w:rsidRPr="00127FDD">
                <w:rPr>
                  <w:rStyle w:val="Hyperlink"/>
                  <w:rFonts w:ascii="Helvetica" w:hAnsi="Helvetica" w:cs="HelveticaNeueLTStd-Hv"/>
                  <w:sz w:val="16"/>
                  <w:szCs w:val="16"/>
                  <w:lang w:eastAsia="zh-CN"/>
                </w:rPr>
                <w:t>http://stats.oecd.org/WBOS/Index.aspx?QueryName=350</w:t>
              </w:r>
            </w:hyperlink>
            <w:r w:rsidRPr="00127FDD">
              <w:rPr>
                <w:rStyle w:val="Hyperlink"/>
                <w:rFonts w:cs="HelveticaNeueLTStd-Hv"/>
                <w:sz w:val="16"/>
                <w:szCs w:val="16"/>
                <w:lang w:eastAsia="zh-CN"/>
              </w:rPr>
              <w:t>.</w:t>
            </w:r>
          </w:p>
          <w:p w14:paraId="5F668FC6" w14:textId="77777777" w:rsidR="005E7D92" w:rsidRPr="00127FDD" w:rsidRDefault="005E7D92" w:rsidP="00127FDD">
            <w:pPr>
              <w:outlineLvl w:val="0"/>
              <w:rPr>
                <w:rStyle w:val="Hyperlink"/>
                <w:rFonts w:cs="HelveticaNeueLTStd-Hv"/>
                <w:sz w:val="8"/>
                <w:szCs w:val="8"/>
                <w:lang w:eastAsia="zh-CN"/>
              </w:rPr>
            </w:pPr>
          </w:p>
          <w:p w14:paraId="7CA67C10" w14:textId="77777777" w:rsidR="00F40248" w:rsidRPr="00127FDD" w:rsidRDefault="00F40248" w:rsidP="00127FDD">
            <w:pPr>
              <w:autoSpaceDE w:val="0"/>
              <w:autoSpaceDN w:val="0"/>
              <w:adjustRightInd w:val="0"/>
              <w:spacing w:line="240" w:lineRule="exact"/>
              <w:rPr>
                <w:rFonts w:ascii="Helvetica" w:hAnsi="Helvetica" w:cs="HelveticaNeueLTStd-Hv"/>
                <w:sz w:val="16"/>
                <w:szCs w:val="16"/>
                <w:lang w:eastAsia="zh-CN"/>
              </w:rPr>
            </w:pPr>
            <w:r w:rsidRPr="00127FDD">
              <w:rPr>
                <w:rFonts w:ascii="Helvetica" w:hAnsi="Helvetica" w:cs="HelveticaNeueLTStd-Hv"/>
                <w:b/>
                <w:color w:val="548DD4"/>
                <w:sz w:val="16"/>
                <w:szCs w:val="16"/>
                <w:lang w:eastAsia="zh-CN"/>
              </w:rPr>
              <w:t xml:space="preserve">&gt;&gt; </w:t>
            </w:r>
            <w:r w:rsidRPr="00127FDD">
              <w:rPr>
                <w:rFonts w:ascii="Helvetica" w:hAnsi="Helvetica" w:cs="HelveticaNeueLTStd-Hv"/>
                <w:b/>
                <w:sz w:val="16"/>
                <w:szCs w:val="16"/>
                <w:lang w:eastAsia="zh-CN"/>
              </w:rPr>
              <w:t>Contacts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:</w:t>
            </w:r>
          </w:p>
          <w:p w14:paraId="19F2698D" w14:textId="77777777" w:rsidR="005E7D92" w:rsidRPr="00127FDD" w:rsidRDefault="005E7D92" w:rsidP="00127FDD">
            <w:pPr>
              <w:autoSpaceDE w:val="0"/>
              <w:autoSpaceDN w:val="0"/>
              <w:adjustRightInd w:val="0"/>
              <w:spacing w:line="240" w:lineRule="exact"/>
              <w:rPr>
                <w:rFonts w:ascii="Helvetica" w:hAnsi="Helvetica"/>
                <w:sz w:val="20"/>
                <w:lang w:val="en-US"/>
              </w:rPr>
            </w:pP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For further information readers are invited to contact the OECD’s Media Relations Division on (33) 1 45 24 97 00 or at </w:t>
            </w:r>
            <w:hyperlink r:id="rId12" w:history="1">
              <w:r w:rsidRPr="00127FDD">
                <w:rPr>
                  <w:rStyle w:val="Hyperlink"/>
                  <w:rFonts w:ascii="Helvetica" w:hAnsi="Helvetica" w:cs="HelveticaNeueLTStd-Hv"/>
                  <w:sz w:val="16"/>
                  <w:szCs w:val="16"/>
                  <w:lang w:eastAsia="zh-CN"/>
                </w:rPr>
                <w:t>news.contact@oecd.org</w:t>
              </w:r>
            </w:hyperlink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. For technical 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val="en-US" w:eastAsia="zh-CN"/>
              </w:rPr>
              <w:t xml:space="preserve">questions contact </w:t>
            </w:r>
            <w:hyperlink r:id="rId13" w:history="1">
              <w:r w:rsidRPr="00127FDD">
                <w:rPr>
                  <w:rStyle w:val="Hyperlink"/>
                  <w:rFonts w:ascii="Helvetica" w:hAnsi="Helvetica" w:cs="HelveticaNeueLTStd-Hv"/>
                  <w:sz w:val="16"/>
                  <w:szCs w:val="16"/>
                  <w:lang w:val="en-US" w:eastAsia="zh-CN"/>
                </w:rPr>
                <w:t>stat.contact@oecd.org</w:t>
              </w:r>
            </w:hyperlink>
            <w:r w:rsidRPr="00127FDD">
              <w:rPr>
                <w:rFonts w:ascii="Helvetica" w:hAnsi="Helvetica" w:cs="HelveticaNeueLTStd-Hv"/>
                <w:sz w:val="16"/>
                <w:szCs w:val="16"/>
                <w:lang w:val="en-US" w:eastAsia="zh-CN"/>
              </w:rPr>
              <w:t>.</w:t>
            </w:r>
          </w:p>
          <w:p w14:paraId="03C803E5" w14:textId="77777777" w:rsidR="005E7D92" w:rsidRPr="00127FDD" w:rsidRDefault="005E7D92" w:rsidP="00127FDD">
            <w:pPr>
              <w:outlineLvl w:val="0"/>
              <w:rPr>
                <w:rFonts w:ascii="Helvetica" w:hAnsi="Helvetica"/>
                <w:sz w:val="8"/>
                <w:szCs w:val="8"/>
                <w:lang w:val="en-US"/>
              </w:rPr>
            </w:pPr>
          </w:p>
          <w:p w14:paraId="2B4A081D" w14:textId="77777777" w:rsidR="005E7D92" w:rsidRPr="00127FDD" w:rsidRDefault="005E7D92" w:rsidP="00127FDD">
            <w:pPr>
              <w:autoSpaceDE w:val="0"/>
              <w:autoSpaceDN w:val="0"/>
              <w:adjustRightInd w:val="0"/>
              <w:spacing w:line="240" w:lineRule="exact"/>
              <w:rPr>
                <w:rFonts w:ascii="Helvetica" w:hAnsi="Helvetica" w:cs="HelveticaNeueLTStd-Hv"/>
                <w:sz w:val="16"/>
                <w:szCs w:val="16"/>
                <w:lang w:eastAsia="zh-CN"/>
              </w:rPr>
            </w:pPr>
            <w:r w:rsidRPr="00127FDD">
              <w:rPr>
                <w:rFonts w:ascii="Helvetica" w:hAnsi="Helvetica" w:cs="HelveticaNeueLTStd-Hv"/>
                <w:b/>
                <w:color w:val="548DD4"/>
                <w:sz w:val="16"/>
                <w:szCs w:val="16"/>
                <w:lang w:eastAsia="zh-CN"/>
              </w:rPr>
              <w:t xml:space="preserve">&gt;&gt; </w:t>
            </w:r>
            <w:r w:rsidRPr="00127FDD">
              <w:rPr>
                <w:rFonts w:ascii="Helvetica" w:hAnsi="Helvetica" w:cs="HelveticaNeueLTStd-Hv"/>
                <w:b/>
                <w:sz w:val="16"/>
                <w:szCs w:val="16"/>
                <w:lang w:eastAsia="zh-CN"/>
              </w:rPr>
              <w:t xml:space="preserve">Next </w:t>
            </w:r>
            <w:r w:rsidR="00A04D57" w:rsidRPr="00127FDD">
              <w:rPr>
                <w:rFonts w:ascii="Helvetica" w:hAnsi="Helvetica" w:cs="HelveticaNeueLTStd-Hv"/>
                <w:b/>
                <w:sz w:val="16"/>
                <w:szCs w:val="16"/>
                <w:lang w:eastAsia="zh-CN"/>
              </w:rPr>
              <w:t xml:space="preserve">QNA </w:t>
            </w:r>
            <w:r w:rsidRPr="00127FDD">
              <w:rPr>
                <w:rFonts w:ascii="Helvetica" w:hAnsi="Helvetica" w:cs="HelveticaNeueLTStd-Hv"/>
                <w:b/>
                <w:sz w:val="16"/>
                <w:szCs w:val="16"/>
                <w:lang w:eastAsia="zh-CN"/>
              </w:rPr>
              <w:t>releases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:</w:t>
            </w:r>
          </w:p>
          <w:p w14:paraId="5226028C" w14:textId="77777777" w:rsidR="00F40248" w:rsidRPr="00127FDD" w:rsidRDefault="00F40248" w:rsidP="00127FDD">
            <w:pPr>
              <w:autoSpaceDE w:val="0"/>
              <w:autoSpaceDN w:val="0"/>
              <w:adjustRightInd w:val="0"/>
              <w:spacing w:line="240" w:lineRule="exact"/>
              <w:rPr>
                <w:rFonts w:ascii="Helvetica" w:hAnsi="Helvetica" w:cs="HelveticaNeueLTStd-Hv"/>
                <w:sz w:val="16"/>
                <w:szCs w:val="16"/>
                <w:lang w:eastAsia="zh-CN"/>
              </w:rPr>
            </w:pP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G20 GDP growth – Q</w:t>
            </w:r>
            <w:r w:rsidR="004D6CCA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4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 2012: </w:t>
            </w:r>
            <w:r w:rsidR="000E76AA"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1</w:t>
            </w:r>
            <w:r w:rsidR="005C6D92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3 </w:t>
            </w:r>
            <w:r w:rsidR="004D6CCA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March </w:t>
            </w:r>
            <w:r w:rsidR="00EA2F84"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2</w:t>
            </w:r>
            <w:r w:rsidR="004D6CCA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013</w:t>
            </w:r>
          </w:p>
          <w:p w14:paraId="173C8FAD" w14:textId="77777777" w:rsidR="00F40248" w:rsidRPr="00127FDD" w:rsidRDefault="00F40248" w:rsidP="00AB26CF">
            <w:pPr>
              <w:rPr>
                <w:rFonts w:ascii="Helvetica" w:hAnsi="Helvetica" w:cs="HelveticaNeueLTStd-Hv"/>
                <w:sz w:val="16"/>
                <w:szCs w:val="16"/>
                <w:lang w:eastAsia="zh-CN"/>
              </w:rPr>
            </w:pP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Contributions to </w:t>
            </w:r>
            <w:r w:rsidR="00647681"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OECD 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GDP growth – Q</w:t>
            </w:r>
            <w:r w:rsidR="004D6CCA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4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 2012: </w:t>
            </w:r>
            <w:r w:rsidR="004D6CCA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4 April 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201</w:t>
            </w:r>
            <w:r w:rsidR="005C6D92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3</w:t>
            </w:r>
          </w:p>
          <w:p w14:paraId="09609906" w14:textId="77777777" w:rsidR="00A04D57" w:rsidRPr="00127FDD" w:rsidRDefault="00F40248" w:rsidP="004D6CCA">
            <w:pPr>
              <w:ind w:right="-143"/>
              <w:rPr>
                <w:rFonts w:ascii="Helvetica" w:hAnsi="Helvetica" w:cs="HelveticaNeueLTStd-Hv"/>
                <w:b/>
                <w:sz w:val="16"/>
                <w:szCs w:val="16"/>
                <w:lang w:eastAsia="zh-CN"/>
              </w:rPr>
            </w:pP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OECD GDP growth – Q</w:t>
            </w:r>
            <w:r w:rsidR="004D6CCA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1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 201</w:t>
            </w:r>
            <w:r w:rsidR="004D6CCA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3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: </w:t>
            </w:r>
            <w:r w:rsidR="00233F95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fourth</w:t>
            </w:r>
            <w:r w:rsidR="00947041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 week of </w:t>
            </w:r>
            <w:r w:rsidR="004D6CCA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 xml:space="preserve">May 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201</w:t>
            </w:r>
            <w:r w:rsidR="005C6D92">
              <w:rPr>
                <w:rFonts w:ascii="Helvetica" w:hAnsi="Helvetica" w:cs="HelveticaNeueLTStd-Hv"/>
                <w:sz w:val="16"/>
                <w:szCs w:val="16"/>
                <w:lang w:eastAsia="zh-CN"/>
              </w:rPr>
              <w:t>3</w:t>
            </w:r>
            <w:r w:rsidRPr="00127FDD">
              <w:rPr>
                <w:rFonts w:ascii="Helvetica" w:hAnsi="Helvetica" w:cs="HelveticaNeueLTStd-Hv"/>
                <w:sz w:val="16"/>
                <w:szCs w:val="16"/>
                <w:lang w:eastAsia="zh-CN"/>
              </w:rPr>
              <w:br w:type="page"/>
            </w:r>
          </w:p>
        </w:tc>
      </w:tr>
    </w:tbl>
    <w:p w14:paraId="4640EFBB" w14:textId="77777777" w:rsidR="006F0758" w:rsidRDefault="006F0758" w:rsidP="00CF19F6">
      <w:pPr>
        <w:tabs>
          <w:tab w:val="clear" w:pos="851"/>
        </w:tabs>
        <w:jc w:val="left"/>
        <w:rPr>
          <w:rFonts w:ascii="Helvetica" w:hAnsi="Helvetica"/>
          <w:b/>
          <w:sz w:val="20"/>
        </w:rPr>
      </w:pPr>
      <w:bookmarkStart w:id="0" w:name="_GoBack"/>
      <w:bookmarkEnd w:id="0"/>
    </w:p>
    <w:p w14:paraId="4439C3A2" w14:textId="77777777" w:rsidR="005B390F" w:rsidRDefault="005B390F" w:rsidP="009F4C80">
      <w:pPr>
        <w:ind w:right="-143"/>
        <w:jc w:val="center"/>
        <w:rPr>
          <w:rFonts w:ascii="Arial Narrow" w:hAnsi="Arial Narrow" w:cs="Arial"/>
          <w:b/>
          <w:bCs/>
          <w:color w:val="000000"/>
          <w:sz w:val="20"/>
          <w:shd w:val="solid" w:color="FFFFFF" w:fill="auto"/>
          <w:lang w:val="en-US" w:eastAsia="ru-RU"/>
        </w:rPr>
      </w:pPr>
    </w:p>
    <w:p w14:paraId="7712EA80" w14:textId="77777777" w:rsidR="009F4C80" w:rsidRPr="00BB4E08" w:rsidRDefault="009F4C80" w:rsidP="009F4C80">
      <w:pPr>
        <w:ind w:right="-143"/>
        <w:jc w:val="center"/>
        <w:rPr>
          <w:rFonts w:ascii="Helvetica" w:eastAsia="Helvetica" w:hAnsi="Helvetica"/>
          <w:sz w:val="20"/>
        </w:rPr>
      </w:pPr>
      <w:r w:rsidRPr="00BB4E08">
        <w:rPr>
          <w:rFonts w:ascii="Arial Narrow" w:hAnsi="Arial Narrow" w:cs="Arial"/>
          <w:b/>
          <w:bCs/>
          <w:color w:val="000000"/>
          <w:sz w:val="20"/>
          <w:shd w:val="solid" w:color="FFFFFF" w:fill="auto"/>
          <w:lang w:val="en-US" w:eastAsia="ru-RU"/>
        </w:rPr>
        <w:t xml:space="preserve">Quarterly </w:t>
      </w:r>
      <w:r>
        <w:rPr>
          <w:rFonts w:ascii="Arial Narrow" w:hAnsi="Arial Narrow" w:cs="Arial"/>
          <w:b/>
          <w:bCs/>
          <w:color w:val="000000"/>
          <w:sz w:val="20"/>
          <w:shd w:val="solid" w:color="FFFFFF" w:fill="auto"/>
          <w:lang w:val="en-US" w:eastAsia="ru-RU"/>
        </w:rPr>
        <w:t xml:space="preserve">Real </w:t>
      </w:r>
      <w:r w:rsidRPr="00BB4E08">
        <w:rPr>
          <w:rFonts w:ascii="Arial Narrow" w:hAnsi="Arial Narrow" w:cs="Arial"/>
          <w:b/>
          <w:bCs/>
          <w:color w:val="000000"/>
          <w:sz w:val="20"/>
          <w:shd w:val="solid" w:color="FFFFFF" w:fill="auto"/>
          <w:lang w:val="en-US" w:eastAsia="ru-RU"/>
        </w:rPr>
        <w:t xml:space="preserve">GDP </w:t>
      </w:r>
      <w:r>
        <w:rPr>
          <w:rFonts w:ascii="Arial Narrow" w:hAnsi="Arial Narrow" w:cs="Arial"/>
          <w:b/>
          <w:bCs/>
          <w:color w:val="000000"/>
          <w:sz w:val="20"/>
          <w:shd w:val="solid" w:color="FFFFFF" w:fill="auto"/>
          <w:lang w:val="en-US" w:eastAsia="ru-RU"/>
        </w:rPr>
        <w:t>growth</w:t>
      </w:r>
    </w:p>
    <w:p w14:paraId="2BBB29BC" w14:textId="77777777" w:rsidR="008D3EA4" w:rsidRDefault="009F4C80" w:rsidP="005B390F">
      <w:pPr>
        <w:ind w:right="-143"/>
        <w:jc w:val="center"/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</w:pPr>
      <w:r w:rsidRPr="00BB4E08"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  <w:t>Percentage change on the previous quarter, seasonally adjusted data</w:t>
      </w:r>
    </w:p>
    <w:p w14:paraId="463CE73D" w14:textId="77777777" w:rsidR="005B390F" w:rsidRDefault="005B390F" w:rsidP="005B390F">
      <w:pPr>
        <w:ind w:right="-143"/>
        <w:jc w:val="center"/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</w:pPr>
    </w:p>
    <w:p w14:paraId="297FF61D" w14:textId="77777777" w:rsidR="005B390F" w:rsidRDefault="008274E2" w:rsidP="005B390F">
      <w:pPr>
        <w:ind w:right="-143"/>
        <w:jc w:val="center"/>
        <w:rPr>
          <w:rFonts w:ascii="Helvetica" w:hAnsi="Helvetica"/>
          <w:b/>
          <w:sz w:val="20"/>
          <w:lang w:val="en-US"/>
        </w:rPr>
      </w:pPr>
      <w:r>
        <w:rPr>
          <w:rFonts w:ascii="Arial Narrow" w:hAnsi="Arial Narrow" w:cs="Arial"/>
          <w:i/>
          <w:iCs/>
          <w:noProof/>
          <w:color w:val="000000"/>
          <w:sz w:val="20"/>
          <w:shd w:val="solid" w:color="FFFFFF" w:fill="auto"/>
          <w:lang w:val="en-US" w:eastAsia="ja-JP"/>
        </w:rPr>
        <w:drawing>
          <wp:inline distT="0" distB="0" distL="0" distR="0" wp14:anchorId="7C28D6DF" wp14:editId="45C81223">
            <wp:extent cx="5886450" cy="240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1800B" w14:textId="77777777" w:rsidR="00B4227A" w:rsidRPr="00EE591A" w:rsidRDefault="00B4227A" w:rsidP="00B4227A">
      <w:pPr>
        <w:tabs>
          <w:tab w:val="clear" w:pos="851"/>
          <w:tab w:val="left" w:pos="426"/>
        </w:tabs>
        <w:ind w:right="-143"/>
        <w:rPr>
          <w:rFonts w:ascii="Arial Narrow" w:hAnsi="Arial Narrow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 w:rsidRPr="00EE591A">
        <w:rPr>
          <w:rFonts w:ascii="Arial Narrow" w:hAnsi="Arial Narrow"/>
          <w:sz w:val="18"/>
          <w:szCs w:val="18"/>
        </w:rPr>
        <w:t>* Latest quarter not yet available.</w:t>
      </w:r>
    </w:p>
    <w:p w14:paraId="1369E0BE" w14:textId="77777777" w:rsidR="009F4C80" w:rsidRDefault="009F4C80" w:rsidP="00BE4C12">
      <w:pPr>
        <w:tabs>
          <w:tab w:val="clear" w:pos="851"/>
          <w:tab w:val="left" w:pos="0"/>
        </w:tabs>
        <w:ind w:right="-143"/>
        <w:jc w:val="center"/>
        <w:outlineLvl w:val="0"/>
        <w:rPr>
          <w:rFonts w:ascii="Helvetica" w:hAnsi="Helvetica"/>
          <w:b/>
          <w:sz w:val="20"/>
        </w:rPr>
      </w:pPr>
    </w:p>
    <w:p w14:paraId="5FDF9C15" w14:textId="77777777" w:rsidR="009F4C80" w:rsidRPr="00BB4E08" w:rsidRDefault="009F4C80" w:rsidP="009F4C80">
      <w:pPr>
        <w:ind w:right="-143"/>
        <w:jc w:val="center"/>
        <w:rPr>
          <w:rFonts w:ascii="Helvetica" w:eastAsia="Helvetica" w:hAnsi="Helvetica"/>
          <w:sz w:val="20"/>
        </w:rPr>
      </w:pPr>
      <w:r w:rsidRPr="00BB4E08">
        <w:rPr>
          <w:rFonts w:ascii="Arial Narrow" w:hAnsi="Arial Narrow" w:cs="Arial"/>
          <w:b/>
          <w:bCs/>
          <w:color w:val="000000"/>
          <w:sz w:val="20"/>
          <w:shd w:val="solid" w:color="FFFFFF" w:fill="auto"/>
          <w:lang w:val="en-US" w:eastAsia="ru-RU"/>
        </w:rPr>
        <w:t xml:space="preserve">Quarterly </w:t>
      </w:r>
      <w:r>
        <w:rPr>
          <w:rFonts w:ascii="Arial Narrow" w:hAnsi="Arial Narrow" w:cs="Arial"/>
          <w:b/>
          <w:bCs/>
          <w:color w:val="000000"/>
          <w:sz w:val="20"/>
          <w:shd w:val="solid" w:color="FFFFFF" w:fill="auto"/>
          <w:lang w:val="en-US" w:eastAsia="ru-RU"/>
        </w:rPr>
        <w:t xml:space="preserve">Real </w:t>
      </w:r>
      <w:r w:rsidRPr="00BB4E08">
        <w:rPr>
          <w:rFonts w:ascii="Arial Narrow" w:hAnsi="Arial Narrow" w:cs="Arial"/>
          <w:b/>
          <w:bCs/>
          <w:color w:val="000000"/>
          <w:sz w:val="20"/>
          <w:shd w:val="solid" w:color="FFFFFF" w:fill="auto"/>
          <w:lang w:val="en-US" w:eastAsia="ru-RU"/>
        </w:rPr>
        <w:t xml:space="preserve">GDP </w:t>
      </w:r>
      <w:r>
        <w:rPr>
          <w:rFonts w:ascii="Arial Narrow" w:hAnsi="Arial Narrow" w:cs="Arial"/>
          <w:b/>
          <w:bCs/>
          <w:color w:val="000000"/>
          <w:sz w:val="20"/>
          <w:shd w:val="solid" w:color="FFFFFF" w:fill="auto"/>
          <w:lang w:val="en-US" w:eastAsia="ru-RU"/>
        </w:rPr>
        <w:t>growth</w:t>
      </w:r>
    </w:p>
    <w:p w14:paraId="2073C146" w14:textId="77777777" w:rsidR="00547B9F" w:rsidRDefault="009F4C80" w:rsidP="00547B9F">
      <w:pPr>
        <w:ind w:right="-143"/>
        <w:jc w:val="center"/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</w:pPr>
      <w:r w:rsidRPr="00BB4E08"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  <w:t xml:space="preserve">Percentage change on the </w:t>
      </w:r>
      <w:r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  <w:t xml:space="preserve">same </w:t>
      </w:r>
      <w:r w:rsidRPr="00BB4E08"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  <w:t>quarter</w:t>
      </w:r>
      <w:r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  <w:t xml:space="preserve"> of the previous year</w:t>
      </w:r>
      <w:r w:rsidR="00F61A1E" w:rsidRPr="00BB4E08"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  <w:t>, seasonally adjusted data</w:t>
      </w:r>
    </w:p>
    <w:p w14:paraId="13CA66A3" w14:textId="77777777" w:rsidR="00BD451A" w:rsidRDefault="00BD451A" w:rsidP="00547B9F">
      <w:pPr>
        <w:ind w:right="-143"/>
        <w:jc w:val="center"/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</w:pPr>
    </w:p>
    <w:p w14:paraId="56D02446" w14:textId="77777777" w:rsidR="005B390F" w:rsidRDefault="008274E2" w:rsidP="00547B9F">
      <w:pPr>
        <w:ind w:right="-143"/>
        <w:jc w:val="center"/>
        <w:rPr>
          <w:rFonts w:ascii="Arial Narrow" w:hAnsi="Arial Narrow" w:cs="Arial"/>
          <w:i/>
          <w:iCs/>
          <w:color w:val="000000"/>
          <w:sz w:val="20"/>
          <w:shd w:val="solid" w:color="FFFFFF" w:fill="auto"/>
          <w:lang w:val="en-US" w:eastAsia="ru-RU"/>
        </w:rPr>
      </w:pPr>
      <w:r>
        <w:rPr>
          <w:rFonts w:ascii="Arial Narrow" w:hAnsi="Arial Narrow" w:cs="Arial"/>
          <w:i/>
          <w:iCs/>
          <w:noProof/>
          <w:color w:val="000000"/>
          <w:sz w:val="20"/>
          <w:shd w:val="solid" w:color="FFFFFF" w:fill="auto"/>
          <w:lang w:val="en-US" w:eastAsia="ja-JP"/>
        </w:rPr>
        <w:drawing>
          <wp:inline distT="0" distB="0" distL="0" distR="0" wp14:anchorId="276C9C90" wp14:editId="0CBEFD9B">
            <wp:extent cx="5886450" cy="2457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C7FF4" w14:textId="77777777" w:rsidR="00B4227A" w:rsidRPr="00EE591A" w:rsidRDefault="00B4227A" w:rsidP="00B4227A">
      <w:pPr>
        <w:tabs>
          <w:tab w:val="clear" w:pos="851"/>
          <w:tab w:val="left" w:pos="426"/>
        </w:tabs>
        <w:ind w:right="-143"/>
        <w:rPr>
          <w:rFonts w:ascii="Arial Narrow" w:hAnsi="Arial Narrow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 w:rsidRPr="00EE591A">
        <w:rPr>
          <w:rFonts w:ascii="Arial Narrow" w:hAnsi="Arial Narrow"/>
          <w:sz w:val="18"/>
          <w:szCs w:val="18"/>
        </w:rPr>
        <w:t>* Latest quarter not yet available.</w:t>
      </w:r>
    </w:p>
    <w:p w14:paraId="1C95640C" w14:textId="77777777" w:rsidR="00B4227A" w:rsidRPr="00B4227A" w:rsidRDefault="00B4227A" w:rsidP="00B4227A">
      <w:pPr>
        <w:ind w:right="-143"/>
        <w:jc w:val="center"/>
        <w:rPr>
          <w:rFonts w:ascii="Helvetica" w:hAnsi="Helvetica"/>
          <w:i/>
        </w:rPr>
      </w:pPr>
    </w:p>
    <w:sectPr w:rsidR="00B4227A" w:rsidRPr="00B4227A" w:rsidSect="003801D9">
      <w:headerReference w:type="even" r:id="rId16"/>
      <w:headerReference w:type="default" r:id="rId17"/>
      <w:footerReference w:type="even" r:id="rId18"/>
      <w:footerReference w:type="first" r:id="rId19"/>
      <w:pgSz w:w="11907" w:h="16840" w:code="9"/>
      <w:pgMar w:top="2520" w:right="1247" w:bottom="851" w:left="1191" w:header="737" w:footer="737" w:gutter="0"/>
      <w:cols w:space="851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C3BC1" w14:textId="77777777" w:rsidR="0083020F" w:rsidRDefault="0083020F">
      <w:r>
        <w:separator/>
      </w:r>
    </w:p>
  </w:endnote>
  <w:endnote w:type="continuationSeparator" w:id="0">
    <w:p w14:paraId="7ADAFFE6" w14:textId="77777777" w:rsidR="0083020F" w:rsidRDefault="0083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HelveticaNeueLTStd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680ADA7" w14:textId="77777777" w:rsidR="0083020F" w:rsidRDefault="00194391">
    <w:pPr>
      <w:pStyle w:val="Footer"/>
      <w:jc w:val="center"/>
    </w:pPr>
    <w:r>
      <w:rPr>
        <w:rStyle w:val="PageNumber"/>
      </w:rPr>
      <w:fldChar w:fldCharType="begin"/>
    </w:r>
    <w:r w:rsidR="0083020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20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131CC72" w14:textId="77777777" w:rsidR="0083020F" w:rsidRDefault="00194391">
    <w:pPr>
      <w:pStyle w:val="Footer"/>
      <w:jc w:val="center"/>
    </w:pPr>
    <w:r>
      <w:rPr>
        <w:rStyle w:val="PageNumber"/>
      </w:rPr>
      <w:fldChar w:fldCharType="begin"/>
    </w:r>
    <w:r w:rsidR="0083020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20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3ED1E" w14:textId="77777777" w:rsidR="0083020F" w:rsidRDefault="0083020F">
      <w:r>
        <w:separator/>
      </w:r>
    </w:p>
  </w:footnote>
  <w:footnote w:type="continuationSeparator" w:id="0">
    <w:p w14:paraId="5BE8D91B" w14:textId="77777777" w:rsidR="0083020F" w:rsidRDefault="008302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C2F0BC" w14:textId="77777777" w:rsidR="0083020F" w:rsidRDefault="00194391">
    <w:pPr>
      <w:pStyle w:val="Header"/>
      <w:tabs>
        <w:tab w:val="clear" w:pos="4320"/>
        <w:tab w:val="clear" w:pos="8640"/>
        <w:tab w:val="right" w:pos="9441"/>
      </w:tabs>
    </w:pPr>
    <w:r>
      <w:fldChar w:fldCharType="begin"/>
    </w:r>
    <w:r w:rsidR="0083020F">
      <w:instrText>IF</w:instrText>
    </w:r>
    <w:r>
      <w:fldChar w:fldCharType="begin"/>
    </w:r>
    <w:r w:rsidR="0083020F">
      <w:instrText xml:space="preserve"> =INT(</w:instrText>
    </w:r>
    <w:r>
      <w:fldChar w:fldCharType="begin"/>
    </w:r>
    <w:r w:rsidR="0083020F">
      <w:instrText xml:space="preserve"> PAGE </w:instrText>
    </w:r>
    <w:r>
      <w:fldChar w:fldCharType="separate"/>
    </w:r>
    <w:r w:rsidR="0083020F">
      <w:rPr>
        <w:noProof/>
      </w:rPr>
      <w:instrText>2</w:instrText>
    </w:r>
    <w:r>
      <w:rPr>
        <w:noProof/>
      </w:rPr>
      <w:fldChar w:fldCharType="end"/>
    </w:r>
    <w:r w:rsidR="0083020F">
      <w:instrText xml:space="preserve">/2)*2 </w:instrText>
    </w:r>
    <w:r>
      <w:fldChar w:fldCharType="separate"/>
    </w:r>
    <w:r w:rsidR="00086D4F">
      <w:rPr>
        <w:noProof/>
      </w:rPr>
      <w:instrText>2</w:instrText>
    </w:r>
    <w:r>
      <w:fldChar w:fldCharType="end"/>
    </w:r>
    <w:r w:rsidR="0083020F">
      <w:instrText xml:space="preserve"> = </w:instrText>
    </w:r>
    <w:r>
      <w:fldChar w:fldCharType="begin"/>
    </w:r>
    <w:r w:rsidR="0083020F">
      <w:instrText xml:space="preserve"> PAGE </w:instrText>
    </w:r>
    <w:r>
      <w:fldChar w:fldCharType="separate"/>
    </w:r>
    <w:r w:rsidR="0083020F">
      <w:rPr>
        <w:noProof/>
      </w:rPr>
      <w:instrText>2</w:instrText>
    </w:r>
    <w:r>
      <w:rPr>
        <w:noProof/>
      </w:rPr>
      <w:fldChar w:fldCharType="end"/>
    </w:r>
    <w:r w:rsidR="0083020F">
      <w:instrText>"TESTCOTE" "</w:instrText>
    </w:r>
    <w:r w:rsidR="0083020F">
      <w:tab/>
      <w:instrText xml:space="preserve">TESTCOTE" </w:instrText>
    </w:r>
    <w:r>
      <w:fldChar w:fldCharType="separate"/>
    </w:r>
    <w:r w:rsidR="00086D4F">
      <w:rPr>
        <w:noProof/>
      </w:rPr>
      <w:t>TESTCOTE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519E09" w14:textId="77777777" w:rsidR="0083020F" w:rsidRDefault="0083020F" w:rsidP="00A500E9">
    <w:r>
      <w:rPr>
        <w:noProof/>
        <w:lang w:val="en-US" w:eastAsia="ja-JP"/>
      </w:rPr>
      <w:drawing>
        <wp:inline distT="0" distB="0" distL="0" distR="0" wp14:anchorId="1E4C476F" wp14:editId="6F5D2E22">
          <wp:extent cx="1595755" cy="490220"/>
          <wp:effectExtent l="19050" t="0" r="4445" b="0"/>
          <wp:docPr id="11" name="Picture 0" descr="OECD_TEXT_20cm_HD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OECD_TEXT_20cm_HD_4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49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28C217" w14:textId="77777777" w:rsidR="0083020F" w:rsidRPr="00075CC8" w:rsidRDefault="0083020F" w:rsidP="00A500E9">
    <w:pPr>
      <w:autoSpaceDE w:val="0"/>
      <w:autoSpaceDN w:val="0"/>
      <w:adjustRightInd w:val="0"/>
      <w:rPr>
        <w:rFonts w:ascii="Helvetica" w:hAnsi="Helvetica" w:cs="Arial"/>
        <w:sz w:val="12"/>
        <w:szCs w:val="12"/>
        <w:lang w:val="en-US"/>
      </w:rPr>
    </w:pPr>
    <w:r w:rsidRPr="00075CC8">
      <w:rPr>
        <w:rFonts w:ascii="Helvetica" w:hAnsi="Helvetica" w:cs="Arial"/>
        <w:sz w:val="12"/>
        <w:szCs w:val="12"/>
        <w:lang w:val="en-US"/>
      </w:rPr>
      <w:t xml:space="preserve"> </w:t>
    </w:r>
  </w:p>
  <w:p w14:paraId="08AAF242" w14:textId="77777777" w:rsidR="0083020F" w:rsidRDefault="0083020F" w:rsidP="00A500E9">
    <w:pPr>
      <w:autoSpaceDE w:val="0"/>
      <w:autoSpaceDN w:val="0"/>
      <w:adjustRightInd w:val="0"/>
      <w:rPr>
        <w:rFonts w:ascii="Helvetica" w:hAnsi="Helvetica" w:cs="Arial"/>
        <w:sz w:val="20"/>
      </w:rPr>
    </w:pPr>
    <w:r>
      <w:rPr>
        <w:rFonts w:ascii="Helvetica" w:hAnsi="Helvetica" w:cs="Arial"/>
        <w:sz w:val="20"/>
        <w:lang w:val="en-US"/>
      </w:rPr>
      <w:t xml:space="preserve">OECD </w:t>
    </w:r>
    <w:r w:rsidRPr="00F35E13">
      <w:rPr>
        <w:rFonts w:ascii="Helvetica" w:hAnsi="Helvetica" w:cs="Arial"/>
        <w:sz w:val="20"/>
        <w:lang w:val="en-US"/>
      </w:rPr>
      <w:t>Quarterly National Accounts</w:t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>
      <w:rPr>
        <w:rFonts w:ascii="Helvetica" w:hAnsi="Helvetica" w:cs="Arial"/>
        <w:sz w:val="20"/>
        <w:lang w:val="en-US"/>
      </w:rPr>
      <w:tab/>
    </w:r>
    <w:r w:rsidRPr="00F35E13">
      <w:rPr>
        <w:rFonts w:ascii="Helvetica" w:hAnsi="Helvetica" w:cs="Arial"/>
        <w:sz w:val="20"/>
      </w:rPr>
      <w:t xml:space="preserve">Paris, </w:t>
    </w:r>
    <w:r>
      <w:rPr>
        <w:rFonts w:ascii="Helvetica" w:hAnsi="Helvetica" w:cs="Arial"/>
        <w:sz w:val="20"/>
      </w:rPr>
      <w:t>19 February 2013</w:t>
    </w:r>
  </w:p>
  <w:p w14:paraId="211C71DF" w14:textId="77777777" w:rsidR="0083020F" w:rsidRDefault="00004AFB" w:rsidP="00A500E9">
    <w:pPr>
      <w:autoSpaceDE w:val="0"/>
      <w:autoSpaceDN w:val="0"/>
      <w:adjustRightInd w:val="0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  <w:lang w:val="en-US"/>
      </w:rPr>
      <w:pict w14:anchorId="64BFD31F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.45pt;margin-top:9.55pt;width:479.25pt;height:0;z-index:251657728" o:connectortype="straight" strokecolor="#548dd4" strokeweight="3pt">
          <v:shadow type="perspective" color="#243f60" opacity=".5" offset="1pt" offset2="-1pt"/>
        </v:shape>
      </w:pict>
    </w:r>
  </w:p>
  <w:p w14:paraId="5B492BB6" w14:textId="77777777" w:rsidR="0083020F" w:rsidRPr="009534E4" w:rsidRDefault="0083020F" w:rsidP="00A500E9">
    <w:pPr>
      <w:ind w:right="-142"/>
      <w:jc w:val="left"/>
      <w:rPr>
        <w:rFonts w:ascii="Helvetica" w:hAnsi="Helvetica" w:cs="Arial-BoldMT"/>
        <w:b/>
        <w:bCs/>
        <w:sz w:val="8"/>
        <w:szCs w:val="8"/>
        <w:lang w:val="en-US"/>
      </w:rPr>
    </w:pPr>
  </w:p>
  <w:p w14:paraId="211ECBB2" w14:textId="77777777" w:rsidR="0083020F" w:rsidRPr="003801D9" w:rsidRDefault="0083020F" w:rsidP="00A500E9">
    <w:pPr>
      <w:ind w:right="-142"/>
      <w:jc w:val="left"/>
      <w:rPr>
        <w:rFonts w:ascii="Helvetica" w:hAnsi="Helvetica" w:cs="Arial-BoldMT"/>
        <w:bCs/>
        <w:sz w:val="20"/>
        <w:lang w:val="en-US"/>
      </w:rPr>
    </w:pPr>
    <w:r w:rsidRPr="003801D9">
      <w:rPr>
        <w:rFonts w:ascii="Helvetica" w:hAnsi="Helvetica" w:cs="Arial-BoldMT"/>
        <w:bCs/>
        <w:sz w:val="20"/>
        <w:lang w:val="en-US"/>
      </w:rPr>
      <w:t xml:space="preserve">News Release: OECD GDP growth, </w:t>
    </w:r>
    <w:r>
      <w:rPr>
        <w:rFonts w:ascii="Helvetica" w:hAnsi="Helvetica" w:cs="Arial-BoldMT"/>
        <w:bCs/>
        <w:sz w:val="20"/>
        <w:lang w:val="en-US"/>
      </w:rPr>
      <w:t xml:space="preserve">fourth </w:t>
    </w:r>
    <w:r w:rsidRPr="003801D9">
      <w:rPr>
        <w:rFonts w:ascii="Helvetica" w:hAnsi="Helvetica" w:cs="Arial-BoldMT"/>
        <w:bCs/>
        <w:sz w:val="20"/>
        <w:lang w:val="en-US"/>
      </w:rPr>
      <w:t>quarter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2">
      <v:textbox inset="5.85pt,.7pt,5.85pt,.7pt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te" w:val="wbwbwbw"/>
  </w:docVars>
  <w:rsids>
    <w:rsidRoot w:val="00170F2D"/>
    <w:rsid w:val="00000FB8"/>
    <w:rsid w:val="0000130A"/>
    <w:rsid w:val="000019F5"/>
    <w:rsid w:val="00004A1F"/>
    <w:rsid w:val="00004AFB"/>
    <w:rsid w:val="00004C9A"/>
    <w:rsid w:val="00006197"/>
    <w:rsid w:val="00006679"/>
    <w:rsid w:val="000079B7"/>
    <w:rsid w:val="00007E2F"/>
    <w:rsid w:val="00011E35"/>
    <w:rsid w:val="00013BEF"/>
    <w:rsid w:val="00013F22"/>
    <w:rsid w:val="000170EF"/>
    <w:rsid w:val="000176DD"/>
    <w:rsid w:val="00022316"/>
    <w:rsid w:val="000226F5"/>
    <w:rsid w:val="00025281"/>
    <w:rsid w:val="00025FC4"/>
    <w:rsid w:val="00027CEF"/>
    <w:rsid w:val="00030AE4"/>
    <w:rsid w:val="00030FE6"/>
    <w:rsid w:val="000319CE"/>
    <w:rsid w:val="00034F52"/>
    <w:rsid w:val="00042066"/>
    <w:rsid w:val="00042DC4"/>
    <w:rsid w:val="00042DC6"/>
    <w:rsid w:val="00043309"/>
    <w:rsid w:val="00045AD2"/>
    <w:rsid w:val="00045C41"/>
    <w:rsid w:val="00046ACA"/>
    <w:rsid w:val="00051819"/>
    <w:rsid w:val="00054B8C"/>
    <w:rsid w:val="00055078"/>
    <w:rsid w:val="0006041A"/>
    <w:rsid w:val="000608C8"/>
    <w:rsid w:val="0006364C"/>
    <w:rsid w:val="00063B4C"/>
    <w:rsid w:val="000652F3"/>
    <w:rsid w:val="00065809"/>
    <w:rsid w:val="00070FC7"/>
    <w:rsid w:val="00073077"/>
    <w:rsid w:val="000749F9"/>
    <w:rsid w:val="000752A1"/>
    <w:rsid w:val="000776FF"/>
    <w:rsid w:val="00077AF8"/>
    <w:rsid w:val="00081656"/>
    <w:rsid w:val="000818AB"/>
    <w:rsid w:val="00081BF1"/>
    <w:rsid w:val="00081C92"/>
    <w:rsid w:val="00082918"/>
    <w:rsid w:val="00083A00"/>
    <w:rsid w:val="00083A9A"/>
    <w:rsid w:val="00083DE9"/>
    <w:rsid w:val="000847AF"/>
    <w:rsid w:val="00085BAA"/>
    <w:rsid w:val="000861B0"/>
    <w:rsid w:val="0008621C"/>
    <w:rsid w:val="00086D4F"/>
    <w:rsid w:val="000870F8"/>
    <w:rsid w:val="0009088A"/>
    <w:rsid w:val="00090AE5"/>
    <w:rsid w:val="00090C2A"/>
    <w:rsid w:val="000910A5"/>
    <w:rsid w:val="000915A8"/>
    <w:rsid w:val="0009185F"/>
    <w:rsid w:val="00091A7E"/>
    <w:rsid w:val="00091C7F"/>
    <w:rsid w:val="000921A0"/>
    <w:rsid w:val="00092B2D"/>
    <w:rsid w:val="0009399B"/>
    <w:rsid w:val="0009404D"/>
    <w:rsid w:val="000949B4"/>
    <w:rsid w:val="00097DF0"/>
    <w:rsid w:val="000A0085"/>
    <w:rsid w:val="000A0869"/>
    <w:rsid w:val="000A0CE2"/>
    <w:rsid w:val="000A1412"/>
    <w:rsid w:val="000A435B"/>
    <w:rsid w:val="000A49CC"/>
    <w:rsid w:val="000A5028"/>
    <w:rsid w:val="000A6BCB"/>
    <w:rsid w:val="000A727C"/>
    <w:rsid w:val="000A7ADC"/>
    <w:rsid w:val="000B1519"/>
    <w:rsid w:val="000B22FC"/>
    <w:rsid w:val="000B2CC3"/>
    <w:rsid w:val="000B338C"/>
    <w:rsid w:val="000B447F"/>
    <w:rsid w:val="000B45FD"/>
    <w:rsid w:val="000B4EAA"/>
    <w:rsid w:val="000B596D"/>
    <w:rsid w:val="000B798D"/>
    <w:rsid w:val="000B7A57"/>
    <w:rsid w:val="000C10EB"/>
    <w:rsid w:val="000C51C5"/>
    <w:rsid w:val="000C60FF"/>
    <w:rsid w:val="000C6140"/>
    <w:rsid w:val="000C6AA2"/>
    <w:rsid w:val="000C74B0"/>
    <w:rsid w:val="000C75B2"/>
    <w:rsid w:val="000D1EE1"/>
    <w:rsid w:val="000D2876"/>
    <w:rsid w:val="000D42A0"/>
    <w:rsid w:val="000D58A6"/>
    <w:rsid w:val="000D5B50"/>
    <w:rsid w:val="000E0ACA"/>
    <w:rsid w:val="000E15EF"/>
    <w:rsid w:val="000E4F48"/>
    <w:rsid w:val="000E59EB"/>
    <w:rsid w:val="000E76AA"/>
    <w:rsid w:val="000F12E2"/>
    <w:rsid w:val="000F4B85"/>
    <w:rsid w:val="000F56D6"/>
    <w:rsid w:val="000F5DD4"/>
    <w:rsid w:val="000F7244"/>
    <w:rsid w:val="00105C14"/>
    <w:rsid w:val="001121BF"/>
    <w:rsid w:val="0011227E"/>
    <w:rsid w:val="00112B8D"/>
    <w:rsid w:val="00116F01"/>
    <w:rsid w:val="00117697"/>
    <w:rsid w:val="00122438"/>
    <w:rsid w:val="00122AF6"/>
    <w:rsid w:val="00123E5D"/>
    <w:rsid w:val="00123F41"/>
    <w:rsid w:val="0012524D"/>
    <w:rsid w:val="0012554B"/>
    <w:rsid w:val="00125E23"/>
    <w:rsid w:val="001269D0"/>
    <w:rsid w:val="00127FDD"/>
    <w:rsid w:val="00130195"/>
    <w:rsid w:val="00130825"/>
    <w:rsid w:val="001321AD"/>
    <w:rsid w:val="00135E33"/>
    <w:rsid w:val="001405A2"/>
    <w:rsid w:val="001416D4"/>
    <w:rsid w:val="0014280B"/>
    <w:rsid w:val="00143D2A"/>
    <w:rsid w:val="00143D9C"/>
    <w:rsid w:val="00144B84"/>
    <w:rsid w:val="00146807"/>
    <w:rsid w:val="0015072D"/>
    <w:rsid w:val="00150CCA"/>
    <w:rsid w:val="00151E63"/>
    <w:rsid w:val="00152E7B"/>
    <w:rsid w:val="00154C61"/>
    <w:rsid w:val="00155122"/>
    <w:rsid w:val="00155891"/>
    <w:rsid w:val="00156324"/>
    <w:rsid w:val="001564C0"/>
    <w:rsid w:val="001564C9"/>
    <w:rsid w:val="00157FBA"/>
    <w:rsid w:val="00161600"/>
    <w:rsid w:val="00161F54"/>
    <w:rsid w:val="0016314A"/>
    <w:rsid w:val="001657C5"/>
    <w:rsid w:val="001665A0"/>
    <w:rsid w:val="00170F2D"/>
    <w:rsid w:val="0017107E"/>
    <w:rsid w:val="00172010"/>
    <w:rsid w:val="001721B5"/>
    <w:rsid w:val="0017379B"/>
    <w:rsid w:val="001737AB"/>
    <w:rsid w:val="00174858"/>
    <w:rsid w:val="001765A2"/>
    <w:rsid w:val="00180CFD"/>
    <w:rsid w:val="00181442"/>
    <w:rsid w:val="001844FB"/>
    <w:rsid w:val="00185046"/>
    <w:rsid w:val="00186882"/>
    <w:rsid w:val="001872DE"/>
    <w:rsid w:val="001918D5"/>
    <w:rsid w:val="00193211"/>
    <w:rsid w:val="00194391"/>
    <w:rsid w:val="00195C01"/>
    <w:rsid w:val="001965F8"/>
    <w:rsid w:val="001971B8"/>
    <w:rsid w:val="001A20A3"/>
    <w:rsid w:val="001A324D"/>
    <w:rsid w:val="001A465D"/>
    <w:rsid w:val="001A4D4F"/>
    <w:rsid w:val="001A5782"/>
    <w:rsid w:val="001A6A08"/>
    <w:rsid w:val="001A7370"/>
    <w:rsid w:val="001B0C77"/>
    <w:rsid w:val="001B2205"/>
    <w:rsid w:val="001B37E4"/>
    <w:rsid w:val="001B3F2A"/>
    <w:rsid w:val="001B4830"/>
    <w:rsid w:val="001B4C2C"/>
    <w:rsid w:val="001B642C"/>
    <w:rsid w:val="001B654F"/>
    <w:rsid w:val="001B7E82"/>
    <w:rsid w:val="001C0732"/>
    <w:rsid w:val="001C088B"/>
    <w:rsid w:val="001C0FFF"/>
    <w:rsid w:val="001C1171"/>
    <w:rsid w:val="001C1753"/>
    <w:rsid w:val="001C3214"/>
    <w:rsid w:val="001C6402"/>
    <w:rsid w:val="001C7E92"/>
    <w:rsid w:val="001D2AD1"/>
    <w:rsid w:val="001D36DC"/>
    <w:rsid w:val="001D5ADB"/>
    <w:rsid w:val="001D77C4"/>
    <w:rsid w:val="001E1167"/>
    <w:rsid w:val="001E168F"/>
    <w:rsid w:val="001E16C8"/>
    <w:rsid w:val="001E18EA"/>
    <w:rsid w:val="001E2A08"/>
    <w:rsid w:val="001E2EB0"/>
    <w:rsid w:val="001E4E48"/>
    <w:rsid w:val="001E59C8"/>
    <w:rsid w:val="001F0EB2"/>
    <w:rsid w:val="001F2B56"/>
    <w:rsid w:val="001F2D72"/>
    <w:rsid w:val="001F3633"/>
    <w:rsid w:val="001F6EC6"/>
    <w:rsid w:val="001F7A12"/>
    <w:rsid w:val="001F7F08"/>
    <w:rsid w:val="001F7FC8"/>
    <w:rsid w:val="00200B3A"/>
    <w:rsid w:val="00201AC4"/>
    <w:rsid w:val="00203A73"/>
    <w:rsid w:val="00204CAC"/>
    <w:rsid w:val="002061C1"/>
    <w:rsid w:val="00206EDF"/>
    <w:rsid w:val="0020799D"/>
    <w:rsid w:val="00210960"/>
    <w:rsid w:val="0021179F"/>
    <w:rsid w:val="00213BED"/>
    <w:rsid w:val="00213F57"/>
    <w:rsid w:val="0021490B"/>
    <w:rsid w:val="002155CC"/>
    <w:rsid w:val="0021611D"/>
    <w:rsid w:val="0021623E"/>
    <w:rsid w:val="00216E30"/>
    <w:rsid w:val="00220362"/>
    <w:rsid w:val="00221552"/>
    <w:rsid w:val="00221E1B"/>
    <w:rsid w:val="002235F8"/>
    <w:rsid w:val="00224216"/>
    <w:rsid w:val="00224326"/>
    <w:rsid w:val="00225061"/>
    <w:rsid w:val="002257CE"/>
    <w:rsid w:val="00225DE6"/>
    <w:rsid w:val="0022630B"/>
    <w:rsid w:val="002301F0"/>
    <w:rsid w:val="002304E1"/>
    <w:rsid w:val="002332CE"/>
    <w:rsid w:val="002336A3"/>
    <w:rsid w:val="00233A9B"/>
    <w:rsid w:val="00233AA8"/>
    <w:rsid w:val="00233E39"/>
    <w:rsid w:val="00233F95"/>
    <w:rsid w:val="00234947"/>
    <w:rsid w:val="00235E2D"/>
    <w:rsid w:val="002372A3"/>
    <w:rsid w:val="00237753"/>
    <w:rsid w:val="002377E4"/>
    <w:rsid w:val="002405C9"/>
    <w:rsid w:val="00242B51"/>
    <w:rsid w:val="0024414A"/>
    <w:rsid w:val="00244922"/>
    <w:rsid w:val="00245B22"/>
    <w:rsid w:val="00246F5D"/>
    <w:rsid w:val="002474D6"/>
    <w:rsid w:val="00250625"/>
    <w:rsid w:val="00251CB0"/>
    <w:rsid w:val="002520DB"/>
    <w:rsid w:val="002526A0"/>
    <w:rsid w:val="00256B89"/>
    <w:rsid w:val="00257AA6"/>
    <w:rsid w:val="00257B22"/>
    <w:rsid w:val="0026254B"/>
    <w:rsid w:val="00262C11"/>
    <w:rsid w:val="00262F8A"/>
    <w:rsid w:val="002639DF"/>
    <w:rsid w:val="002643FD"/>
    <w:rsid w:val="002645FE"/>
    <w:rsid w:val="002670B0"/>
    <w:rsid w:val="002706F6"/>
    <w:rsid w:val="00276FFC"/>
    <w:rsid w:val="00280651"/>
    <w:rsid w:val="00285AD1"/>
    <w:rsid w:val="0028631E"/>
    <w:rsid w:val="00287F80"/>
    <w:rsid w:val="002926F1"/>
    <w:rsid w:val="0029385D"/>
    <w:rsid w:val="00295409"/>
    <w:rsid w:val="00295618"/>
    <w:rsid w:val="00295BD3"/>
    <w:rsid w:val="00297717"/>
    <w:rsid w:val="002979DD"/>
    <w:rsid w:val="002A08E2"/>
    <w:rsid w:val="002A19F0"/>
    <w:rsid w:val="002A1EFA"/>
    <w:rsid w:val="002A314B"/>
    <w:rsid w:val="002A61C6"/>
    <w:rsid w:val="002A7EDF"/>
    <w:rsid w:val="002B02C3"/>
    <w:rsid w:val="002B040B"/>
    <w:rsid w:val="002B29BE"/>
    <w:rsid w:val="002B29E1"/>
    <w:rsid w:val="002C0354"/>
    <w:rsid w:val="002C0A5B"/>
    <w:rsid w:val="002C0E46"/>
    <w:rsid w:val="002C1BFC"/>
    <w:rsid w:val="002C3706"/>
    <w:rsid w:val="002C3C66"/>
    <w:rsid w:val="002C4B11"/>
    <w:rsid w:val="002C5B8B"/>
    <w:rsid w:val="002C5FE7"/>
    <w:rsid w:val="002C67A0"/>
    <w:rsid w:val="002D0AAD"/>
    <w:rsid w:val="002D0EC1"/>
    <w:rsid w:val="002D1F44"/>
    <w:rsid w:val="002D3804"/>
    <w:rsid w:val="002D434B"/>
    <w:rsid w:val="002E0016"/>
    <w:rsid w:val="002E03FA"/>
    <w:rsid w:val="002E0A3D"/>
    <w:rsid w:val="002E0ED0"/>
    <w:rsid w:val="002E3E6B"/>
    <w:rsid w:val="002E3E9E"/>
    <w:rsid w:val="002E5F9F"/>
    <w:rsid w:val="002E6871"/>
    <w:rsid w:val="002E716C"/>
    <w:rsid w:val="002E75C7"/>
    <w:rsid w:val="002E7C43"/>
    <w:rsid w:val="002F1252"/>
    <w:rsid w:val="002F20AD"/>
    <w:rsid w:val="002F2241"/>
    <w:rsid w:val="002F26CF"/>
    <w:rsid w:val="002F27F1"/>
    <w:rsid w:val="002F2F5F"/>
    <w:rsid w:val="002F37F9"/>
    <w:rsid w:val="002F41FB"/>
    <w:rsid w:val="002F58A7"/>
    <w:rsid w:val="002F7391"/>
    <w:rsid w:val="002F7BAD"/>
    <w:rsid w:val="00300C6B"/>
    <w:rsid w:val="0030125A"/>
    <w:rsid w:val="00305CDF"/>
    <w:rsid w:val="00305F1C"/>
    <w:rsid w:val="00306664"/>
    <w:rsid w:val="003077D6"/>
    <w:rsid w:val="00310360"/>
    <w:rsid w:val="003104EF"/>
    <w:rsid w:val="00310C23"/>
    <w:rsid w:val="00313B1E"/>
    <w:rsid w:val="00314207"/>
    <w:rsid w:val="00314374"/>
    <w:rsid w:val="00320382"/>
    <w:rsid w:val="003205F8"/>
    <w:rsid w:val="00322015"/>
    <w:rsid w:val="00322924"/>
    <w:rsid w:val="00323DCE"/>
    <w:rsid w:val="00324B8B"/>
    <w:rsid w:val="00330137"/>
    <w:rsid w:val="00333BE3"/>
    <w:rsid w:val="0033457B"/>
    <w:rsid w:val="00335AD7"/>
    <w:rsid w:val="00342746"/>
    <w:rsid w:val="00345860"/>
    <w:rsid w:val="0034589D"/>
    <w:rsid w:val="00345C2A"/>
    <w:rsid w:val="00345CB3"/>
    <w:rsid w:val="00347258"/>
    <w:rsid w:val="00351A05"/>
    <w:rsid w:val="00352000"/>
    <w:rsid w:val="00352E92"/>
    <w:rsid w:val="00353F8B"/>
    <w:rsid w:val="0035439F"/>
    <w:rsid w:val="0035496F"/>
    <w:rsid w:val="00355486"/>
    <w:rsid w:val="00361619"/>
    <w:rsid w:val="0036178F"/>
    <w:rsid w:val="003618D4"/>
    <w:rsid w:val="00366888"/>
    <w:rsid w:val="003710CB"/>
    <w:rsid w:val="00371630"/>
    <w:rsid w:val="00372351"/>
    <w:rsid w:val="00372C19"/>
    <w:rsid w:val="0037542C"/>
    <w:rsid w:val="003755B8"/>
    <w:rsid w:val="00376C01"/>
    <w:rsid w:val="003776CB"/>
    <w:rsid w:val="00380134"/>
    <w:rsid w:val="003801D9"/>
    <w:rsid w:val="0039167F"/>
    <w:rsid w:val="00394FD5"/>
    <w:rsid w:val="0039711A"/>
    <w:rsid w:val="0039726E"/>
    <w:rsid w:val="003A08BF"/>
    <w:rsid w:val="003A2B04"/>
    <w:rsid w:val="003A3699"/>
    <w:rsid w:val="003B3A80"/>
    <w:rsid w:val="003B3C66"/>
    <w:rsid w:val="003B70BB"/>
    <w:rsid w:val="003B723E"/>
    <w:rsid w:val="003B7A1B"/>
    <w:rsid w:val="003C0B6F"/>
    <w:rsid w:val="003C1441"/>
    <w:rsid w:val="003C19BE"/>
    <w:rsid w:val="003C2FB0"/>
    <w:rsid w:val="003C3304"/>
    <w:rsid w:val="003C51BE"/>
    <w:rsid w:val="003C5206"/>
    <w:rsid w:val="003C5799"/>
    <w:rsid w:val="003C5CFB"/>
    <w:rsid w:val="003C65FC"/>
    <w:rsid w:val="003C78BB"/>
    <w:rsid w:val="003D29A4"/>
    <w:rsid w:val="003D46BD"/>
    <w:rsid w:val="003D56D0"/>
    <w:rsid w:val="003E0A31"/>
    <w:rsid w:val="003E2BB9"/>
    <w:rsid w:val="003E31EB"/>
    <w:rsid w:val="003E3681"/>
    <w:rsid w:val="003E3E94"/>
    <w:rsid w:val="003E70CD"/>
    <w:rsid w:val="003E75C3"/>
    <w:rsid w:val="003E7BC7"/>
    <w:rsid w:val="003F0E0F"/>
    <w:rsid w:val="003F1309"/>
    <w:rsid w:val="003F265D"/>
    <w:rsid w:val="003F3110"/>
    <w:rsid w:val="003F3CC5"/>
    <w:rsid w:val="003F6F09"/>
    <w:rsid w:val="003F6F6A"/>
    <w:rsid w:val="003F76EB"/>
    <w:rsid w:val="003F7F1B"/>
    <w:rsid w:val="00401188"/>
    <w:rsid w:val="00401C37"/>
    <w:rsid w:val="004067BC"/>
    <w:rsid w:val="00406F77"/>
    <w:rsid w:val="004100A2"/>
    <w:rsid w:val="0041035D"/>
    <w:rsid w:val="00410B34"/>
    <w:rsid w:val="00410F21"/>
    <w:rsid w:val="004143F1"/>
    <w:rsid w:val="00415715"/>
    <w:rsid w:val="004205D9"/>
    <w:rsid w:val="004215BE"/>
    <w:rsid w:val="004248F9"/>
    <w:rsid w:val="00424E84"/>
    <w:rsid w:val="00425F37"/>
    <w:rsid w:val="0042676A"/>
    <w:rsid w:val="00426A28"/>
    <w:rsid w:val="004326A4"/>
    <w:rsid w:val="00432A5F"/>
    <w:rsid w:val="00436CED"/>
    <w:rsid w:val="00436EDF"/>
    <w:rsid w:val="00440069"/>
    <w:rsid w:val="00441016"/>
    <w:rsid w:val="00441367"/>
    <w:rsid w:val="0044181C"/>
    <w:rsid w:val="0044406D"/>
    <w:rsid w:val="00444D3D"/>
    <w:rsid w:val="00444D82"/>
    <w:rsid w:val="004469A7"/>
    <w:rsid w:val="00451EB9"/>
    <w:rsid w:val="00452DDF"/>
    <w:rsid w:val="00455289"/>
    <w:rsid w:val="004614C1"/>
    <w:rsid w:val="00462752"/>
    <w:rsid w:val="00463794"/>
    <w:rsid w:val="00464444"/>
    <w:rsid w:val="00466482"/>
    <w:rsid w:val="00466743"/>
    <w:rsid w:val="0047029F"/>
    <w:rsid w:val="004721F5"/>
    <w:rsid w:val="00472BC4"/>
    <w:rsid w:val="004754DE"/>
    <w:rsid w:val="00475C3B"/>
    <w:rsid w:val="00475F6E"/>
    <w:rsid w:val="00477FB0"/>
    <w:rsid w:val="00481D4E"/>
    <w:rsid w:val="004825D2"/>
    <w:rsid w:val="00482AAD"/>
    <w:rsid w:val="00482E37"/>
    <w:rsid w:val="004835ED"/>
    <w:rsid w:val="00487D00"/>
    <w:rsid w:val="00490895"/>
    <w:rsid w:val="0049357F"/>
    <w:rsid w:val="00493707"/>
    <w:rsid w:val="0049581A"/>
    <w:rsid w:val="004A08D2"/>
    <w:rsid w:val="004A0DA7"/>
    <w:rsid w:val="004A1E22"/>
    <w:rsid w:val="004A2719"/>
    <w:rsid w:val="004A2ADD"/>
    <w:rsid w:val="004A2C67"/>
    <w:rsid w:val="004A31EE"/>
    <w:rsid w:val="004A568A"/>
    <w:rsid w:val="004A6109"/>
    <w:rsid w:val="004A6399"/>
    <w:rsid w:val="004A72A1"/>
    <w:rsid w:val="004B1FD6"/>
    <w:rsid w:val="004B3D08"/>
    <w:rsid w:val="004B66EB"/>
    <w:rsid w:val="004C13F9"/>
    <w:rsid w:val="004C2028"/>
    <w:rsid w:val="004C2C68"/>
    <w:rsid w:val="004C42C4"/>
    <w:rsid w:val="004C6ADB"/>
    <w:rsid w:val="004C7188"/>
    <w:rsid w:val="004D03BE"/>
    <w:rsid w:val="004D156C"/>
    <w:rsid w:val="004D1BEB"/>
    <w:rsid w:val="004D6CCA"/>
    <w:rsid w:val="004D6E71"/>
    <w:rsid w:val="004E1B36"/>
    <w:rsid w:val="004E3B5C"/>
    <w:rsid w:val="004E4412"/>
    <w:rsid w:val="004E4C9C"/>
    <w:rsid w:val="004E585D"/>
    <w:rsid w:val="004E5E63"/>
    <w:rsid w:val="004E6A42"/>
    <w:rsid w:val="004E6A8F"/>
    <w:rsid w:val="004E6F09"/>
    <w:rsid w:val="004F0066"/>
    <w:rsid w:val="004F0446"/>
    <w:rsid w:val="004F04D6"/>
    <w:rsid w:val="004F2DF3"/>
    <w:rsid w:val="004F69A5"/>
    <w:rsid w:val="004F7107"/>
    <w:rsid w:val="004F7C4F"/>
    <w:rsid w:val="0050172E"/>
    <w:rsid w:val="00503C5A"/>
    <w:rsid w:val="0050735A"/>
    <w:rsid w:val="005077D1"/>
    <w:rsid w:val="005106B4"/>
    <w:rsid w:val="00513214"/>
    <w:rsid w:val="00514BA1"/>
    <w:rsid w:val="0051619D"/>
    <w:rsid w:val="00517B0C"/>
    <w:rsid w:val="005202AA"/>
    <w:rsid w:val="0052060B"/>
    <w:rsid w:val="005210FD"/>
    <w:rsid w:val="0052258F"/>
    <w:rsid w:val="005242B1"/>
    <w:rsid w:val="005247EF"/>
    <w:rsid w:val="00525112"/>
    <w:rsid w:val="005253C7"/>
    <w:rsid w:val="00526D74"/>
    <w:rsid w:val="00526F0A"/>
    <w:rsid w:val="005277AA"/>
    <w:rsid w:val="005309F5"/>
    <w:rsid w:val="00532C47"/>
    <w:rsid w:val="00532E66"/>
    <w:rsid w:val="00535905"/>
    <w:rsid w:val="00535A5C"/>
    <w:rsid w:val="0053735F"/>
    <w:rsid w:val="005435F2"/>
    <w:rsid w:val="005474DB"/>
    <w:rsid w:val="00547B9F"/>
    <w:rsid w:val="00550AC2"/>
    <w:rsid w:val="00551D93"/>
    <w:rsid w:val="00551EE8"/>
    <w:rsid w:val="005530DC"/>
    <w:rsid w:val="00557ED5"/>
    <w:rsid w:val="00560175"/>
    <w:rsid w:val="00563FB3"/>
    <w:rsid w:val="005675A9"/>
    <w:rsid w:val="005701D1"/>
    <w:rsid w:val="005710E8"/>
    <w:rsid w:val="0057136C"/>
    <w:rsid w:val="00571D0C"/>
    <w:rsid w:val="00572CF1"/>
    <w:rsid w:val="00574AC6"/>
    <w:rsid w:val="00574D17"/>
    <w:rsid w:val="00576D62"/>
    <w:rsid w:val="00577715"/>
    <w:rsid w:val="00580107"/>
    <w:rsid w:val="00580F43"/>
    <w:rsid w:val="00581872"/>
    <w:rsid w:val="00581970"/>
    <w:rsid w:val="0058241F"/>
    <w:rsid w:val="00583601"/>
    <w:rsid w:val="00585329"/>
    <w:rsid w:val="00585821"/>
    <w:rsid w:val="005871BA"/>
    <w:rsid w:val="00591528"/>
    <w:rsid w:val="00591793"/>
    <w:rsid w:val="00592022"/>
    <w:rsid w:val="005930F8"/>
    <w:rsid w:val="00593DAA"/>
    <w:rsid w:val="00597FA3"/>
    <w:rsid w:val="005A0021"/>
    <w:rsid w:val="005A09A7"/>
    <w:rsid w:val="005A27EE"/>
    <w:rsid w:val="005A3ABF"/>
    <w:rsid w:val="005A4F8B"/>
    <w:rsid w:val="005A5FF7"/>
    <w:rsid w:val="005A6BDA"/>
    <w:rsid w:val="005B1DAC"/>
    <w:rsid w:val="005B2208"/>
    <w:rsid w:val="005B27A8"/>
    <w:rsid w:val="005B390F"/>
    <w:rsid w:val="005B491B"/>
    <w:rsid w:val="005B64AB"/>
    <w:rsid w:val="005B6C5A"/>
    <w:rsid w:val="005B6DCC"/>
    <w:rsid w:val="005C0A1A"/>
    <w:rsid w:val="005C2D0E"/>
    <w:rsid w:val="005C4741"/>
    <w:rsid w:val="005C4E24"/>
    <w:rsid w:val="005C62B8"/>
    <w:rsid w:val="005C6D92"/>
    <w:rsid w:val="005C74CB"/>
    <w:rsid w:val="005D1755"/>
    <w:rsid w:val="005D1C6E"/>
    <w:rsid w:val="005D1DB9"/>
    <w:rsid w:val="005D1FFF"/>
    <w:rsid w:val="005D217D"/>
    <w:rsid w:val="005D527E"/>
    <w:rsid w:val="005D5CF2"/>
    <w:rsid w:val="005D6637"/>
    <w:rsid w:val="005E0915"/>
    <w:rsid w:val="005E2511"/>
    <w:rsid w:val="005E2FA8"/>
    <w:rsid w:val="005E3526"/>
    <w:rsid w:val="005E4031"/>
    <w:rsid w:val="005E477E"/>
    <w:rsid w:val="005E4CE3"/>
    <w:rsid w:val="005E5D00"/>
    <w:rsid w:val="005E6FA4"/>
    <w:rsid w:val="005E7D92"/>
    <w:rsid w:val="005F049D"/>
    <w:rsid w:val="005F31BA"/>
    <w:rsid w:val="005F4437"/>
    <w:rsid w:val="005F44C5"/>
    <w:rsid w:val="005F650C"/>
    <w:rsid w:val="005F6E93"/>
    <w:rsid w:val="005F7030"/>
    <w:rsid w:val="005F70A4"/>
    <w:rsid w:val="005F7BCE"/>
    <w:rsid w:val="00600E88"/>
    <w:rsid w:val="0060121E"/>
    <w:rsid w:val="00604973"/>
    <w:rsid w:val="0060778D"/>
    <w:rsid w:val="0061012B"/>
    <w:rsid w:val="00611AC3"/>
    <w:rsid w:val="006121D6"/>
    <w:rsid w:val="00614D42"/>
    <w:rsid w:val="00616EED"/>
    <w:rsid w:val="00616F8D"/>
    <w:rsid w:val="0061722A"/>
    <w:rsid w:val="006217DA"/>
    <w:rsid w:val="006217F6"/>
    <w:rsid w:val="00622AAF"/>
    <w:rsid w:val="00625ADD"/>
    <w:rsid w:val="006345F8"/>
    <w:rsid w:val="0063464E"/>
    <w:rsid w:val="00634B6C"/>
    <w:rsid w:val="00637D15"/>
    <w:rsid w:val="006423FF"/>
    <w:rsid w:val="00642DAA"/>
    <w:rsid w:val="00644F8E"/>
    <w:rsid w:val="0064665A"/>
    <w:rsid w:val="00647681"/>
    <w:rsid w:val="006477CF"/>
    <w:rsid w:val="00650A38"/>
    <w:rsid w:val="006514AD"/>
    <w:rsid w:val="006522AC"/>
    <w:rsid w:val="00653EE0"/>
    <w:rsid w:val="0065467F"/>
    <w:rsid w:val="006554B7"/>
    <w:rsid w:val="006559C1"/>
    <w:rsid w:val="006570E1"/>
    <w:rsid w:val="00662B29"/>
    <w:rsid w:val="00662D43"/>
    <w:rsid w:val="00664AF7"/>
    <w:rsid w:val="00664E4E"/>
    <w:rsid w:val="006656E1"/>
    <w:rsid w:val="00665D36"/>
    <w:rsid w:val="00666B78"/>
    <w:rsid w:val="00666DC9"/>
    <w:rsid w:val="006674DF"/>
    <w:rsid w:val="006711B8"/>
    <w:rsid w:val="00671A56"/>
    <w:rsid w:val="00674678"/>
    <w:rsid w:val="00674F35"/>
    <w:rsid w:val="0067537F"/>
    <w:rsid w:val="006777A8"/>
    <w:rsid w:val="00682497"/>
    <w:rsid w:val="00682A3B"/>
    <w:rsid w:val="00683112"/>
    <w:rsid w:val="00683DDF"/>
    <w:rsid w:val="00684B2B"/>
    <w:rsid w:val="00684DC2"/>
    <w:rsid w:val="006865A8"/>
    <w:rsid w:val="00687754"/>
    <w:rsid w:val="00687CAE"/>
    <w:rsid w:val="00694996"/>
    <w:rsid w:val="00695550"/>
    <w:rsid w:val="00696BAB"/>
    <w:rsid w:val="006A3082"/>
    <w:rsid w:val="006A5413"/>
    <w:rsid w:val="006A6D4D"/>
    <w:rsid w:val="006A7480"/>
    <w:rsid w:val="006A793F"/>
    <w:rsid w:val="006B0D3A"/>
    <w:rsid w:val="006B10E5"/>
    <w:rsid w:val="006B2A6B"/>
    <w:rsid w:val="006B2B39"/>
    <w:rsid w:val="006B32A3"/>
    <w:rsid w:val="006B3D97"/>
    <w:rsid w:val="006B3EAE"/>
    <w:rsid w:val="006B4646"/>
    <w:rsid w:val="006B4EF1"/>
    <w:rsid w:val="006B5438"/>
    <w:rsid w:val="006B6D38"/>
    <w:rsid w:val="006C0810"/>
    <w:rsid w:val="006C14B9"/>
    <w:rsid w:val="006C1C2E"/>
    <w:rsid w:val="006C258D"/>
    <w:rsid w:val="006C27CA"/>
    <w:rsid w:val="006C533D"/>
    <w:rsid w:val="006C7BF0"/>
    <w:rsid w:val="006D097F"/>
    <w:rsid w:val="006D146A"/>
    <w:rsid w:val="006D21C6"/>
    <w:rsid w:val="006D2C26"/>
    <w:rsid w:val="006D3D56"/>
    <w:rsid w:val="006D406D"/>
    <w:rsid w:val="006D427D"/>
    <w:rsid w:val="006D75B5"/>
    <w:rsid w:val="006D79F6"/>
    <w:rsid w:val="006E0255"/>
    <w:rsid w:val="006E10DE"/>
    <w:rsid w:val="006E22FE"/>
    <w:rsid w:val="006E27C5"/>
    <w:rsid w:val="006E4867"/>
    <w:rsid w:val="006E699E"/>
    <w:rsid w:val="006E69B8"/>
    <w:rsid w:val="006F0758"/>
    <w:rsid w:val="006F16B6"/>
    <w:rsid w:val="006F4D1F"/>
    <w:rsid w:val="006F6149"/>
    <w:rsid w:val="006F64B9"/>
    <w:rsid w:val="006F75E2"/>
    <w:rsid w:val="006F77CA"/>
    <w:rsid w:val="0070008F"/>
    <w:rsid w:val="007009C9"/>
    <w:rsid w:val="00702108"/>
    <w:rsid w:val="00702FA0"/>
    <w:rsid w:val="00704F50"/>
    <w:rsid w:val="00706AB3"/>
    <w:rsid w:val="00706B90"/>
    <w:rsid w:val="00706D01"/>
    <w:rsid w:val="00706D8A"/>
    <w:rsid w:val="00710ADD"/>
    <w:rsid w:val="007110B8"/>
    <w:rsid w:val="007144A3"/>
    <w:rsid w:val="00715663"/>
    <w:rsid w:val="00715CBB"/>
    <w:rsid w:val="00716477"/>
    <w:rsid w:val="00717153"/>
    <w:rsid w:val="007204AD"/>
    <w:rsid w:val="007220BE"/>
    <w:rsid w:val="0072412F"/>
    <w:rsid w:val="007243FE"/>
    <w:rsid w:val="007319DB"/>
    <w:rsid w:val="00733BF2"/>
    <w:rsid w:val="00735A11"/>
    <w:rsid w:val="00741BCA"/>
    <w:rsid w:val="00741DAA"/>
    <w:rsid w:val="00742BCE"/>
    <w:rsid w:val="007435A3"/>
    <w:rsid w:val="0074367A"/>
    <w:rsid w:val="007446F6"/>
    <w:rsid w:val="00745921"/>
    <w:rsid w:val="00746924"/>
    <w:rsid w:val="0074732B"/>
    <w:rsid w:val="0075043B"/>
    <w:rsid w:val="00750947"/>
    <w:rsid w:val="00751392"/>
    <w:rsid w:val="0075209A"/>
    <w:rsid w:val="007530EA"/>
    <w:rsid w:val="0075371B"/>
    <w:rsid w:val="00754069"/>
    <w:rsid w:val="00754091"/>
    <w:rsid w:val="00754CBD"/>
    <w:rsid w:val="007558FE"/>
    <w:rsid w:val="0076084E"/>
    <w:rsid w:val="007612BC"/>
    <w:rsid w:val="0076207A"/>
    <w:rsid w:val="00762553"/>
    <w:rsid w:val="00762564"/>
    <w:rsid w:val="00762C5D"/>
    <w:rsid w:val="00765398"/>
    <w:rsid w:val="00766C16"/>
    <w:rsid w:val="007671A6"/>
    <w:rsid w:val="00767ED3"/>
    <w:rsid w:val="00771B0E"/>
    <w:rsid w:val="00772186"/>
    <w:rsid w:val="007729C7"/>
    <w:rsid w:val="007734AA"/>
    <w:rsid w:val="0077388C"/>
    <w:rsid w:val="00773AF1"/>
    <w:rsid w:val="00775CD1"/>
    <w:rsid w:val="00780472"/>
    <w:rsid w:val="0078051C"/>
    <w:rsid w:val="00781A59"/>
    <w:rsid w:val="00783C6E"/>
    <w:rsid w:val="0078484C"/>
    <w:rsid w:val="007905A6"/>
    <w:rsid w:val="00790E5A"/>
    <w:rsid w:val="00790F84"/>
    <w:rsid w:val="00791411"/>
    <w:rsid w:val="007929E8"/>
    <w:rsid w:val="00792D3F"/>
    <w:rsid w:val="007941F6"/>
    <w:rsid w:val="007942D1"/>
    <w:rsid w:val="0079750D"/>
    <w:rsid w:val="00797A2C"/>
    <w:rsid w:val="00797A84"/>
    <w:rsid w:val="007A0889"/>
    <w:rsid w:val="007A0DBE"/>
    <w:rsid w:val="007A1E8B"/>
    <w:rsid w:val="007A1EED"/>
    <w:rsid w:val="007A2D47"/>
    <w:rsid w:val="007A34EB"/>
    <w:rsid w:val="007A36F1"/>
    <w:rsid w:val="007A418D"/>
    <w:rsid w:val="007A44F6"/>
    <w:rsid w:val="007A45F2"/>
    <w:rsid w:val="007A4A0B"/>
    <w:rsid w:val="007A6750"/>
    <w:rsid w:val="007A708C"/>
    <w:rsid w:val="007A7ADF"/>
    <w:rsid w:val="007B0E09"/>
    <w:rsid w:val="007B1138"/>
    <w:rsid w:val="007B47C2"/>
    <w:rsid w:val="007B7033"/>
    <w:rsid w:val="007C0399"/>
    <w:rsid w:val="007C0B59"/>
    <w:rsid w:val="007C1A63"/>
    <w:rsid w:val="007C3051"/>
    <w:rsid w:val="007C33EB"/>
    <w:rsid w:val="007C4310"/>
    <w:rsid w:val="007C49EE"/>
    <w:rsid w:val="007C508B"/>
    <w:rsid w:val="007C5684"/>
    <w:rsid w:val="007C59F4"/>
    <w:rsid w:val="007C5B44"/>
    <w:rsid w:val="007C6566"/>
    <w:rsid w:val="007C6E90"/>
    <w:rsid w:val="007C7BA3"/>
    <w:rsid w:val="007D0982"/>
    <w:rsid w:val="007D0C7A"/>
    <w:rsid w:val="007D179C"/>
    <w:rsid w:val="007D57B1"/>
    <w:rsid w:val="007D63F8"/>
    <w:rsid w:val="007D7197"/>
    <w:rsid w:val="007E00DC"/>
    <w:rsid w:val="007E3A1F"/>
    <w:rsid w:val="007E40B5"/>
    <w:rsid w:val="007E4D00"/>
    <w:rsid w:val="007E6590"/>
    <w:rsid w:val="007E6872"/>
    <w:rsid w:val="007E6DD6"/>
    <w:rsid w:val="007E7D71"/>
    <w:rsid w:val="007F3FCD"/>
    <w:rsid w:val="007F5705"/>
    <w:rsid w:val="007F795D"/>
    <w:rsid w:val="008007CB"/>
    <w:rsid w:val="00800BF4"/>
    <w:rsid w:val="008046D5"/>
    <w:rsid w:val="0080490D"/>
    <w:rsid w:val="00804B52"/>
    <w:rsid w:val="00804E8B"/>
    <w:rsid w:val="00807423"/>
    <w:rsid w:val="00810D87"/>
    <w:rsid w:val="00810FEF"/>
    <w:rsid w:val="00815A99"/>
    <w:rsid w:val="0081647D"/>
    <w:rsid w:val="008209A8"/>
    <w:rsid w:val="00820BDC"/>
    <w:rsid w:val="0082216C"/>
    <w:rsid w:val="00822B43"/>
    <w:rsid w:val="00822D00"/>
    <w:rsid w:val="00825BC1"/>
    <w:rsid w:val="00825CC9"/>
    <w:rsid w:val="008261C6"/>
    <w:rsid w:val="008264F5"/>
    <w:rsid w:val="008274E2"/>
    <w:rsid w:val="0083020F"/>
    <w:rsid w:val="008303EF"/>
    <w:rsid w:val="0083221E"/>
    <w:rsid w:val="00833683"/>
    <w:rsid w:val="00833A13"/>
    <w:rsid w:val="008355CF"/>
    <w:rsid w:val="008363FF"/>
    <w:rsid w:val="008379ED"/>
    <w:rsid w:val="00837C1F"/>
    <w:rsid w:val="008401C0"/>
    <w:rsid w:val="008414EB"/>
    <w:rsid w:val="00841562"/>
    <w:rsid w:val="0084213E"/>
    <w:rsid w:val="00842F10"/>
    <w:rsid w:val="0084368B"/>
    <w:rsid w:val="00844CAE"/>
    <w:rsid w:val="008450EC"/>
    <w:rsid w:val="00845277"/>
    <w:rsid w:val="00846571"/>
    <w:rsid w:val="008477D1"/>
    <w:rsid w:val="008501D1"/>
    <w:rsid w:val="008541B9"/>
    <w:rsid w:val="00854895"/>
    <w:rsid w:val="00854E2D"/>
    <w:rsid w:val="0085525C"/>
    <w:rsid w:val="00855EEC"/>
    <w:rsid w:val="008561B2"/>
    <w:rsid w:val="00857D0C"/>
    <w:rsid w:val="00857D55"/>
    <w:rsid w:val="008650B4"/>
    <w:rsid w:val="008662B0"/>
    <w:rsid w:val="0087300F"/>
    <w:rsid w:val="00873201"/>
    <w:rsid w:val="0087362F"/>
    <w:rsid w:val="0087374F"/>
    <w:rsid w:val="00874FB1"/>
    <w:rsid w:val="00875424"/>
    <w:rsid w:val="00877A54"/>
    <w:rsid w:val="00880E6F"/>
    <w:rsid w:val="008949FA"/>
    <w:rsid w:val="008957C9"/>
    <w:rsid w:val="008957EA"/>
    <w:rsid w:val="00895B91"/>
    <w:rsid w:val="008971F3"/>
    <w:rsid w:val="008A0E4A"/>
    <w:rsid w:val="008A5733"/>
    <w:rsid w:val="008A57E0"/>
    <w:rsid w:val="008A5F6A"/>
    <w:rsid w:val="008A6EFA"/>
    <w:rsid w:val="008A7624"/>
    <w:rsid w:val="008A7F0E"/>
    <w:rsid w:val="008B0448"/>
    <w:rsid w:val="008B13B9"/>
    <w:rsid w:val="008B3F62"/>
    <w:rsid w:val="008B51DF"/>
    <w:rsid w:val="008B56CD"/>
    <w:rsid w:val="008C08BD"/>
    <w:rsid w:val="008C08F5"/>
    <w:rsid w:val="008C0FB6"/>
    <w:rsid w:val="008C1D92"/>
    <w:rsid w:val="008C1FE4"/>
    <w:rsid w:val="008C28D1"/>
    <w:rsid w:val="008C36D6"/>
    <w:rsid w:val="008C4024"/>
    <w:rsid w:val="008D07EA"/>
    <w:rsid w:val="008D08F5"/>
    <w:rsid w:val="008D11BE"/>
    <w:rsid w:val="008D3EA4"/>
    <w:rsid w:val="008D460B"/>
    <w:rsid w:val="008D46D5"/>
    <w:rsid w:val="008D5D9F"/>
    <w:rsid w:val="008D6A05"/>
    <w:rsid w:val="008D7AB1"/>
    <w:rsid w:val="008E06D4"/>
    <w:rsid w:val="008E0F65"/>
    <w:rsid w:val="008E13D4"/>
    <w:rsid w:val="008E1708"/>
    <w:rsid w:val="008E2CA1"/>
    <w:rsid w:val="008E46E6"/>
    <w:rsid w:val="008E618C"/>
    <w:rsid w:val="008E7D22"/>
    <w:rsid w:val="008E7EB7"/>
    <w:rsid w:val="008F0DD1"/>
    <w:rsid w:val="008F5BA9"/>
    <w:rsid w:val="008F668C"/>
    <w:rsid w:val="008F6D9B"/>
    <w:rsid w:val="008F7799"/>
    <w:rsid w:val="00902674"/>
    <w:rsid w:val="009029BD"/>
    <w:rsid w:val="0090309A"/>
    <w:rsid w:val="0090583B"/>
    <w:rsid w:val="009117A2"/>
    <w:rsid w:val="00911A07"/>
    <w:rsid w:val="0091262E"/>
    <w:rsid w:val="00913552"/>
    <w:rsid w:val="009143FA"/>
    <w:rsid w:val="009152B5"/>
    <w:rsid w:val="00915F45"/>
    <w:rsid w:val="00916420"/>
    <w:rsid w:val="009179D4"/>
    <w:rsid w:val="00917A8E"/>
    <w:rsid w:val="009211C3"/>
    <w:rsid w:val="0092248A"/>
    <w:rsid w:val="00922DE5"/>
    <w:rsid w:val="00923216"/>
    <w:rsid w:val="00923404"/>
    <w:rsid w:val="00923EEA"/>
    <w:rsid w:val="009240E8"/>
    <w:rsid w:val="00926A7B"/>
    <w:rsid w:val="00931FDA"/>
    <w:rsid w:val="00932380"/>
    <w:rsid w:val="00933313"/>
    <w:rsid w:val="00935DCB"/>
    <w:rsid w:val="00936CBA"/>
    <w:rsid w:val="00937362"/>
    <w:rsid w:val="009403F2"/>
    <w:rsid w:val="00940E4A"/>
    <w:rsid w:val="00942778"/>
    <w:rsid w:val="00942EBF"/>
    <w:rsid w:val="00945AF2"/>
    <w:rsid w:val="00946024"/>
    <w:rsid w:val="00947041"/>
    <w:rsid w:val="00950AB4"/>
    <w:rsid w:val="00950F8F"/>
    <w:rsid w:val="00951E05"/>
    <w:rsid w:val="009534E4"/>
    <w:rsid w:val="009535A5"/>
    <w:rsid w:val="00955FE1"/>
    <w:rsid w:val="009578F1"/>
    <w:rsid w:val="00963A18"/>
    <w:rsid w:val="00964862"/>
    <w:rsid w:val="00965ED7"/>
    <w:rsid w:val="00966ACB"/>
    <w:rsid w:val="009674DB"/>
    <w:rsid w:val="00967930"/>
    <w:rsid w:val="00967F0F"/>
    <w:rsid w:val="00972DDA"/>
    <w:rsid w:val="00974AFB"/>
    <w:rsid w:val="00975CD3"/>
    <w:rsid w:val="00976646"/>
    <w:rsid w:val="00977196"/>
    <w:rsid w:val="00977985"/>
    <w:rsid w:val="009812EB"/>
    <w:rsid w:val="00981EBE"/>
    <w:rsid w:val="00982012"/>
    <w:rsid w:val="00982F46"/>
    <w:rsid w:val="00984CB3"/>
    <w:rsid w:val="00985827"/>
    <w:rsid w:val="00985CBC"/>
    <w:rsid w:val="00985FF5"/>
    <w:rsid w:val="0098686D"/>
    <w:rsid w:val="00987872"/>
    <w:rsid w:val="0099213E"/>
    <w:rsid w:val="0099372C"/>
    <w:rsid w:val="00994F1B"/>
    <w:rsid w:val="009A0A3F"/>
    <w:rsid w:val="009A4D6C"/>
    <w:rsid w:val="009A60E9"/>
    <w:rsid w:val="009A73AF"/>
    <w:rsid w:val="009B109F"/>
    <w:rsid w:val="009B37F7"/>
    <w:rsid w:val="009B5750"/>
    <w:rsid w:val="009B7698"/>
    <w:rsid w:val="009C199F"/>
    <w:rsid w:val="009C4750"/>
    <w:rsid w:val="009C53D3"/>
    <w:rsid w:val="009C5CB4"/>
    <w:rsid w:val="009C6F33"/>
    <w:rsid w:val="009D0CBC"/>
    <w:rsid w:val="009D4C0D"/>
    <w:rsid w:val="009D514D"/>
    <w:rsid w:val="009D5309"/>
    <w:rsid w:val="009E05BB"/>
    <w:rsid w:val="009E3B1A"/>
    <w:rsid w:val="009E3FC9"/>
    <w:rsid w:val="009F1421"/>
    <w:rsid w:val="009F2950"/>
    <w:rsid w:val="009F3162"/>
    <w:rsid w:val="009F4177"/>
    <w:rsid w:val="009F4C80"/>
    <w:rsid w:val="009F5F46"/>
    <w:rsid w:val="009F6100"/>
    <w:rsid w:val="009F70A2"/>
    <w:rsid w:val="00A01296"/>
    <w:rsid w:val="00A013DC"/>
    <w:rsid w:val="00A01824"/>
    <w:rsid w:val="00A041E9"/>
    <w:rsid w:val="00A04D57"/>
    <w:rsid w:val="00A05E8E"/>
    <w:rsid w:val="00A11360"/>
    <w:rsid w:val="00A14292"/>
    <w:rsid w:val="00A232B8"/>
    <w:rsid w:val="00A23492"/>
    <w:rsid w:val="00A23586"/>
    <w:rsid w:val="00A2549E"/>
    <w:rsid w:val="00A27377"/>
    <w:rsid w:val="00A300AA"/>
    <w:rsid w:val="00A30A34"/>
    <w:rsid w:val="00A30B63"/>
    <w:rsid w:val="00A327C6"/>
    <w:rsid w:val="00A3298D"/>
    <w:rsid w:val="00A34891"/>
    <w:rsid w:val="00A34D25"/>
    <w:rsid w:val="00A37AF4"/>
    <w:rsid w:val="00A4214B"/>
    <w:rsid w:val="00A45948"/>
    <w:rsid w:val="00A45C92"/>
    <w:rsid w:val="00A500E9"/>
    <w:rsid w:val="00A50432"/>
    <w:rsid w:val="00A50695"/>
    <w:rsid w:val="00A50B62"/>
    <w:rsid w:val="00A50F54"/>
    <w:rsid w:val="00A51883"/>
    <w:rsid w:val="00A560A4"/>
    <w:rsid w:val="00A57848"/>
    <w:rsid w:val="00A60727"/>
    <w:rsid w:val="00A60EF1"/>
    <w:rsid w:val="00A60FD9"/>
    <w:rsid w:val="00A61214"/>
    <w:rsid w:val="00A62299"/>
    <w:rsid w:val="00A6281D"/>
    <w:rsid w:val="00A63E92"/>
    <w:rsid w:val="00A640EC"/>
    <w:rsid w:val="00A64101"/>
    <w:rsid w:val="00A66362"/>
    <w:rsid w:val="00A678F3"/>
    <w:rsid w:val="00A71C95"/>
    <w:rsid w:val="00A73536"/>
    <w:rsid w:val="00A73C1C"/>
    <w:rsid w:val="00A74891"/>
    <w:rsid w:val="00A751E5"/>
    <w:rsid w:val="00A75558"/>
    <w:rsid w:val="00A764EF"/>
    <w:rsid w:val="00A7798F"/>
    <w:rsid w:val="00A77D63"/>
    <w:rsid w:val="00A81A0E"/>
    <w:rsid w:val="00A82181"/>
    <w:rsid w:val="00A84834"/>
    <w:rsid w:val="00A85B45"/>
    <w:rsid w:val="00A86417"/>
    <w:rsid w:val="00A86C86"/>
    <w:rsid w:val="00A91AD0"/>
    <w:rsid w:val="00A9216A"/>
    <w:rsid w:val="00A92B33"/>
    <w:rsid w:val="00A93A81"/>
    <w:rsid w:val="00A9425A"/>
    <w:rsid w:val="00A948C4"/>
    <w:rsid w:val="00A949A1"/>
    <w:rsid w:val="00A95F65"/>
    <w:rsid w:val="00AA0DA4"/>
    <w:rsid w:val="00AA128B"/>
    <w:rsid w:val="00AA27DF"/>
    <w:rsid w:val="00AA77E1"/>
    <w:rsid w:val="00AA7B0D"/>
    <w:rsid w:val="00AA7EF6"/>
    <w:rsid w:val="00AB0403"/>
    <w:rsid w:val="00AB0769"/>
    <w:rsid w:val="00AB0858"/>
    <w:rsid w:val="00AB1A35"/>
    <w:rsid w:val="00AB1F25"/>
    <w:rsid w:val="00AB22CC"/>
    <w:rsid w:val="00AB26CF"/>
    <w:rsid w:val="00AB61AE"/>
    <w:rsid w:val="00AB61E5"/>
    <w:rsid w:val="00AB6789"/>
    <w:rsid w:val="00AC0250"/>
    <w:rsid w:val="00AC1008"/>
    <w:rsid w:val="00AC3A63"/>
    <w:rsid w:val="00AC5190"/>
    <w:rsid w:val="00AC559D"/>
    <w:rsid w:val="00AC7836"/>
    <w:rsid w:val="00AC7F3E"/>
    <w:rsid w:val="00AD11EE"/>
    <w:rsid w:val="00AD2635"/>
    <w:rsid w:val="00AD28EE"/>
    <w:rsid w:val="00AD2B51"/>
    <w:rsid w:val="00AD2CBB"/>
    <w:rsid w:val="00AD7F86"/>
    <w:rsid w:val="00AE00AA"/>
    <w:rsid w:val="00AE13A0"/>
    <w:rsid w:val="00AE1BB4"/>
    <w:rsid w:val="00AE5112"/>
    <w:rsid w:val="00AE5289"/>
    <w:rsid w:val="00AE58BF"/>
    <w:rsid w:val="00AE5954"/>
    <w:rsid w:val="00AE6D0E"/>
    <w:rsid w:val="00AE7C0C"/>
    <w:rsid w:val="00AF2849"/>
    <w:rsid w:val="00AF287D"/>
    <w:rsid w:val="00AF2C50"/>
    <w:rsid w:val="00AF3ADE"/>
    <w:rsid w:val="00AF41AF"/>
    <w:rsid w:val="00AF4504"/>
    <w:rsid w:val="00AF5847"/>
    <w:rsid w:val="00AF5958"/>
    <w:rsid w:val="00AF66E3"/>
    <w:rsid w:val="00AF7710"/>
    <w:rsid w:val="00AF7E1E"/>
    <w:rsid w:val="00B00A0D"/>
    <w:rsid w:val="00B01DA0"/>
    <w:rsid w:val="00B02FE1"/>
    <w:rsid w:val="00B035AC"/>
    <w:rsid w:val="00B06425"/>
    <w:rsid w:val="00B067C5"/>
    <w:rsid w:val="00B10EED"/>
    <w:rsid w:val="00B10F9F"/>
    <w:rsid w:val="00B11783"/>
    <w:rsid w:val="00B163DF"/>
    <w:rsid w:val="00B17814"/>
    <w:rsid w:val="00B17E48"/>
    <w:rsid w:val="00B23AAB"/>
    <w:rsid w:val="00B2787C"/>
    <w:rsid w:val="00B27B98"/>
    <w:rsid w:val="00B300C7"/>
    <w:rsid w:val="00B31627"/>
    <w:rsid w:val="00B33C99"/>
    <w:rsid w:val="00B33D29"/>
    <w:rsid w:val="00B34631"/>
    <w:rsid w:val="00B377DC"/>
    <w:rsid w:val="00B41664"/>
    <w:rsid w:val="00B419D0"/>
    <w:rsid w:val="00B41C5D"/>
    <w:rsid w:val="00B4227A"/>
    <w:rsid w:val="00B4288E"/>
    <w:rsid w:val="00B4373A"/>
    <w:rsid w:val="00B44554"/>
    <w:rsid w:val="00B448C0"/>
    <w:rsid w:val="00B46881"/>
    <w:rsid w:val="00B46DCB"/>
    <w:rsid w:val="00B47025"/>
    <w:rsid w:val="00B47B39"/>
    <w:rsid w:val="00B47DD6"/>
    <w:rsid w:val="00B51F39"/>
    <w:rsid w:val="00B56F13"/>
    <w:rsid w:val="00B6077B"/>
    <w:rsid w:val="00B62118"/>
    <w:rsid w:val="00B62DDD"/>
    <w:rsid w:val="00B63AA0"/>
    <w:rsid w:val="00B65B44"/>
    <w:rsid w:val="00B67568"/>
    <w:rsid w:val="00B73833"/>
    <w:rsid w:val="00B7445B"/>
    <w:rsid w:val="00B7491B"/>
    <w:rsid w:val="00B74F80"/>
    <w:rsid w:val="00B76929"/>
    <w:rsid w:val="00B77DCA"/>
    <w:rsid w:val="00B82443"/>
    <w:rsid w:val="00B85687"/>
    <w:rsid w:val="00B864E8"/>
    <w:rsid w:val="00B87D41"/>
    <w:rsid w:val="00B934B4"/>
    <w:rsid w:val="00B93634"/>
    <w:rsid w:val="00B93AE0"/>
    <w:rsid w:val="00B93EAF"/>
    <w:rsid w:val="00B94D25"/>
    <w:rsid w:val="00B9713F"/>
    <w:rsid w:val="00BA07E0"/>
    <w:rsid w:val="00BA07F8"/>
    <w:rsid w:val="00BA0D76"/>
    <w:rsid w:val="00BA3FDF"/>
    <w:rsid w:val="00BA3FE5"/>
    <w:rsid w:val="00BA4081"/>
    <w:rsid w:val="00BA4272"/>
    <w:rsid w:val="00BA47D5"/>
    <w:rsid w:val="00BA555C"/>
    <w:rsid w:val="00BA5CA1"/>
    <w:rsid w:val="00BA6498"/>
    <w:rsid w:val="00BA713E"/>
    <w:rsid w:val="00BA7DB5"/>
    <w:rsid w:val="00BB0063"/>
    <w:rsid w:val="00BB06E5"/>
    <w:rsid w:val="00BB0DED"/>
    <w:rsid w:val="00BB1136"/>
    <w:rsid w:val="00BB18BC"/>
    <w:rsid w:val="00BB2A47"/>
    <w:rsid w:val="00BB2D47"/>
    <w:rsid w:val="00BB5850"/>
    <w:rsid w:val="00BB5CDD"/>
    <w:rsid w:val="00BC19CC"/>
    <w:rsid w:val="00BC235E"/>
    <w:rsid w:val="00BC4DC2"/>
    <w:rsid w:val="00BC6679"/>
    <w:rsid w:val="00BC6951"/>
    <w:rsid w:val="00BC7888"/>
    <w:rsid w:val="00BD000F"/>
    <w:rsid w:val="00BD0CA0"/>
    <w:rsid w:val="00BD4207"/>
    <w:rsid w:val="00BD451A"/>
    <w:rsid w:val="00BD496F"/>
    <w:rsid w:val="00BD53F7"/>
    <w:rsid w:val="00BD6380"/>
    <w:rsid w:val="00BD6BD5"/>
    <w:rsid w:val="00BD6F9B"/>
    <w:rsid w:val="00BD79E5"/>
    <w:rsid w:val="00BD7BDF"/>
    <w:rsid w:val="00BE09A0"/>
    <w:rsid w:val="00BE0B25"/>
    <w:rsid w:val="00BE215D"/>
    <w:rsid w:val="00BE3279"/>
    <w:rsid w:val="00BE47C8"/>
    <w:rsid w:val="00BE4C12"/>
    <w:rsid w:val="00BE5ADF"/>
    <w:rsid w:val="00BE69A5"/>
    <w:rsid w:val="00BE760A"/>
    <w:rsid w:val="00BF0C16"/>
    <w:rsid w:val="00BF30F8"/>
    <w:rsid w:val="00BF667B"/>
    <w:rsid w:val="00BF6B09"/>
    <w:rsid w:val="00C00B96"/>
    <w:rsid w:val="00C00D30"/>
    <w:rsid w:val="00C00EDD"/>
    <w:rsid w:val="00C03F93"/>
    <w:rsid w:val="00C051DF"/>
    <w:rsid w:val="00C06237"/>
    <w:rsid w:val="00C124E9"/>
    <w:rsid w:val="00C12674"/>
    <w:rsid w:val="00C135D8"/>
    <w:rsid w:val="00C136C2"/>
    <w:rsid w:val="00C1753D"/>
    <w:rsid w:val="00C20571"/>
    <w:rsid w:val="00C20C50"/>
    <w:rsid w:val="00C20EBA"/>
    <w:rsid w:val="00C23ED6"/>
    <w:rsid w:val="00C24A93"/>
    <w:rsid w:val="00C25A2E"/>
    <w:rsid w:val="00C26C47"/>
    <w:rsid w:val="00C308B7"/>
    <w:rsid w:val="00C30FA2"/>
    <w:rsid w:val="00C31B84"/>
    <w:rsid w:val="00C328C4"/>
    <w:rsid w:val="00C34018"/>
    <w:rsid w:val="00C34789"/>
    <w:rsid w:val="00C359E3"/>
    <w:rsid w:val="00C36423"/>
    <w:rsid w:val="00C366A8"/>
    <w:rsid w:val="00C4090C"/>
    <w:rsid w:val="00C4174E"/>
    <w:rsid w:val="00C43277"/>
    <w:rsid w:val="00C44CC7"/>
    <w:rsid w:val="00C450C0"/>
    <w:rsid w:val="00C50031"/>
    <w:rsid w:val="00C50050"/>
    <w:rsid w:val="00C5197F"/>
    <w:rsid w:val="00C519F2"/>
    <w:rsid w:val="00C51D16"/>
    <w:rsid w:val="00C52ED3"/>
    <w:rsid w:val="00C53963"/>
    <w:rsid w:val="00C56484"/>
    <w:rsid w:val="00C57002"/>
    <w:rsid w:val="00C6106F"/>
    <w:rsid w:val="00C62D89"/>
    <w:rsid w:val="00C63806"/>
    <w:rsid w:val="00C63EF3"/>
    <w:rsid w:val="00C65800"/>
    <w:rsid w:val="00C65993"/>
    <w:rsid w:val="00C676C5"/>
    <w:rsid w:val="00C67DE0"/>
    <w:rsid w:val="00C70E2F"/>
    <w:rsid w:val="00C727A0"/>
    <w:rsid w:val="00C72AC3"/>
    <w:rsid w:val="00C737D0"/>
    <w:rsid w:val="00C75E0F"/>
    <w:rsid w:val="00C76728"/>
    <w:rsid w:val="00C76F08"/>
    <w:rsid w:val="00C77BC7"/>
    <w:rsid w:val="00C80778"/>
    <w:rsid w:val="00C8173B"/>
    <w:rsid w:val="00C83838"/>
    <w:rsid w:val="00C85283"/>
    <w:rsid w:val="00C86A75"/>
    <w:rsid w:val="00C87B4D"/>
    <w:rsid w:val="00C87DA3"/>
    <w:rsid w:val="00C90729"/>
    <w:rsid w:val="00C90E25"/>
    <w:rsid w:val="00C91A77"/>
    <w:rsid w:val="00C923C7"/>
    <w:rsid w:val="00C92FFD"/>
    <w:rsid w:val="00C930DA"/>
    <w:rsid w:val="00C937A7"/>
    <w:rsid w:val="00C94856"/>
    <w:rsid w:val="00C97F2A"/>
    <w:rsid w:val="00CA2FBD"/>
    <w:rsid w:val="00CA48CF"/>
    <w:rsid w:val="00CA5154"/>
    <w:rsid w:val="00CA61CD"/>
    <w:rsid w:val="00CA624F"/>
    <w:rsid w:val="00CB191E"/>
    <w:rsid w:val="00CB4F4D"/>
    <w:rsid w:val="00CB4F6E"/>
    <w:rsid w:val="00CB578F"/>
    <w:rsid w:val="00CB607F"/>
    <w:rsid w:val="00CB699E"/>
    <w:rsid w:val="00CB7795"/>
    <w:rsid w:val="00CB7870"/>
    <w:rsid w:val="00CB7C20"/>
    <w:rsid w:val="00CB7E6F"/>
    <w:rsid w:val="00CC089E"/>
    <w:rsid w:val="00CC712B"/>
    <w:rsid w:val="00CC76B1"/>
    <w:rsid w:val="00CD1794"/>
    <w:rsid w:val="00CD1F36"/>
    <w:rsid w:val="00CD3F29"/>
    <w:rsid w:val="00CD50F7"/>
    <w:rsid w:val="00CD5562"/>
    <w:rsid w:val="00CD5BC5"/>
    <w:rsid w:val="00CD5DAE"/>
    <w:rsid w:val="00CD6A0A"/>
    <w:rsid w:val="00CE06CE"/>
    <w:rsid w:val="00CE06F0"/>
    <w:rsid w:val="00CE109C"/>
    <w:rsid w:val="00CE1AA0"/>
    <w:rsid w:val="00CE1E56"/>
    <w:rsid w:val="00CE21FB"/>
    <w:rsid w:val="00CE5F99"/>
    <w:rsid w:val="00CF19F6"/>
    <w:rsid w:val="00CF1FDC"/>
    <w:rsid w:val="00CF2A57"/>
    <w:rsid w:val="00CF3442"/>
    <w:rsid w:val="00CF4F24"/>
    <w:rsid w:val="00CF7FBF"/>
    <w:rsid w:val="00D0012A"/>
    <w:rsid w:val="00D004D5"/>
    <w:rsid w:val="00D013FE"/>
    <w:rsid w:val="00D01D39"/>
    <w:rsid w:val="00D04DFD"/>
    <w:rsid w:val="00D05DD9"/>
    <w:rsid w:val="00D063AA"/>
    <w:rsid w:val="00D067F8"/>
    <w:rsid w:val="00D102C9"/>
    <w:rsid w:val="00D10973"/>
    <w:rsid w:val="00D11CB8"/>
    <w:rsid w:val="00D15A9F"/>
    <w:rsid w:val="00D17132"/>
    <w:rsid w:val="00D237C4"/>
    <w:rsid w:val="00D24D5D"/>
    <w:rsid w:val="00D31C79"/>
    <w:rsid w:val="00D3288F"/>
    <w:rsid w:val="00D34B19"/>
    <w:rsid w:val="00D36D93"/>
    <w:rsid w:val="00D41A31"/>
    <w:rsid w:val="00D420D1"/>
    <w:rsid w:val="00D42848"/>
    <w:rsid w:val="00D43328"/>
    <w:rsid w:val="00D44BD1"/>
    <w:rsid w:val="00D44BF1"/>
    <w:rsid w:val="00D45066"/>
    <w:rsid w:val="00D46145"/>
    <w:rsid w:val="00D473C6"/>
    <w:rsid w:val="00D50169"/>
    <w:rsid w:val="00D506F2"/>
    <w:rsid w:val="00D54063"/>
    <w:rsid w:val="00D54CE2"/>
    <w:rsid w:val="00D54D7B"/>
    <w:rsid w:val="00D57044"/>
    <w:rsid w:val="00D5772B"/>
    <w:rsid w:val="00D57BE5"/>
    <w:rsid w:val="00D60C79"/>
    <w:rsid w:val="00D6162C"/>
    <w:rsid w:val="00D62110"/>
    <w:rsid w:val="00D62B4D"/>
    <w:rsid w:val="00D703DC"/>
    <w:rsid w:val="00D70FBC"/>
    <w:rsid w:val="00D7255D"/>
    <w:rsid w:val="00D7408B"/>
    <w:rsid w:val="00D742CB"/>
    <w:rsid w:val="00D74913"/>
    <w:rsid w:val="00D74B50"/>
    <w:rsid w:val="00D75EAA"/>
    <w:rsid w:val="00D77266"/>
    <w:rsid w:val="00D81129"/>
    <w:rsid w:val="00D819C8"/>
    <w:rsid w:val="00D819F1"/>
    <w:rsid w:val="00D823E6"/>
    <w:rsid w:val="00D824DC"/>
    <w:rsid w:val="00D82CA9"/>
    <w:rsid w:val="00D85AAD"/>
    <w:rsid w:val="00D86F61"/>
    <w:rsid w:val="00D86FBC"/>
    <w:rsid w:val="00D87EEF"/>
    <w:rsid w:val="00D90027"/>
    <w:rsid w:val="00D90BCE"/>
    <w:rsid w:val="00D90FC6"/>
    <w:rsid w:val="00D91581"/>
    <w:rsid w:val="00D915DD"/>
    <w:rsid w:val="00D91B63"/>
    <w:rsid w:val="00D91CA9"/>
    <w:rsid w:val="00D93157"/>
    <w:rsid w:val="00D95DD7"/>
    <w:rsid w:val="00DA0A72"/>
    <w:rsid w:val="00DA3632"/>
    <w:rsid w:val="00DA3FD7"/>
    <w:rsid w:val="00DA63C8"/>
    <w:rsid w:val="00DB0143"/>
    <w:rsid w:val="00DB032D"/>
    <w:rsid w:val="00DB1828"/>
    <w:rsid w:val="00DB2DE5"/>
    <w:rsid w:val="00DB345A"/>
    <w:rsid w:val="00DB3735"/>
    <w:rsid w:val="00DC02B8"/>
    <w:rsid w:val="00DC1F6E"/>
    <w:rsid w:val="00DC1FA6"/>
    <w:rsid w:val="00DC26B0"/>
    <w:rsid w:val="00DC2A88"/>
    <w:rsid w:val="00DC2BC2"/>
    <w:rsid w:val="00DC4F7D"/>
    <w:rsid w:val="00DC657C"/>
    <w:rsid w:val="00DC7860"/>
    <w:rsid w:val="00DC7BBD"/>
    <w:rsid w:val="00DD3227"/>
    <w:rsid w:val="00DD48EF"/>
    <w:rsid w:val="00DD49DA"/>
    <w:rsid w:val="00DD4A6E"/>
    <w:rsid w:val="00DD5A71"/>
    <w:rsid w:val="00DD5D79"/>
    <w:rsid w:val="00DD641E"/>
    <w:rsid w:val="00DD761E"/>
    <w:rsid w:val="00DE0085"/>
    <w:rsid w:val="00DE1049"/>
    <w:rsid w:val="00DE3C15"/>
    <w:rsid w:val="00DE436C"/>
    <w:rsid w:val="00DE51DF"/>
    <w:rsid w:val="00DE66D8"/>
    <w:rsid w:val="00DE78E1"/>
    <w:rsid w:val="00DF04CA"/>
    <w:rsid w:val="00DF0ECC"/>
    <w:rsid w:val="00DF14FC"/>
    <w:rsid w:val="00DF238F"/>
    <w:rsid w:val="00DF41B0"/>
    <w:rsid w:val="00DF502A"/>
    <w:rsid w:val="00DF602B"/>
    <w:rsid w:val="00E04205"/>
    <w:rsid w:val="00E07EF8"/>
    <w:rsid w:val="00E11B65"/>
    <w:rsid w:val="00E120DB"/>
    <w:rsid w:val="00E12EC0"/>
    <w:rsid w:val="00E13F94"/>
    <w:rsid w:val="00E166BD"/>
    <w:rsid w:val="00E20603"/>
    <w:rsid w:val="00E24040"/>
    <w:rsid w:val="00E247F5"/>
    <w:rsid w:val="00E34433"/>
    <w:rsid w:val="00E347E1"/>
    <w:rsid w:val="00E350E0"/>
    <w:rsid w:val="00E35528"/>
    <w:rsid w:val="00E35A1E"/>
    <w:rsid w:val="00E36916"/>
    <w:rsid w:val="00E36D2E"/>
    <w:rsid w:val="00E41982"/>
    <w:rsid w:val="00E4246F"/>
    <w:rsid w:val="00E464CE"/>
    <w:rsid w:val="00E4669D"/>
    <w:rsid w:val="00E55CDE"/>
    <w:rsid w:val="00E56A83"/>
    <w:rsid w:val="00E56ACB"/>
    <w:rsid w:val="00E576F0"/>
    <w:rsid w:val="00E57CE0"/>
    <w:rsid w:val="00E57ED4"/>
    <w:rsid w:val="00E60BB3"/>
    <w:rsid w:val="00E60CCB"/>
    <w:rsid w:val="00E64DE0"/>
    <w:rsid w:val="00E66A3A"/>
    <w:rsid w:val="00E66EB1"/>
    <w:rsid w:val="00E673FD"/>
    <w:rsid w:val="00E701B6"/>
    <w:rsid w:val="00E716E3"/>
    <w:rsid w:val="00E71FBB"/>
    <w:rsid w:val="00E72AD1"/>
    <w:rsid w:val="00E74B8D"/>
    <w:rsid w:val="00E75339"/>
    <w:rsid w:val="00E755A3"/>
    <w:rsid w:val="00E77679"/>
    <w:rsid w:val="00E811BD"/>
    <w:rsid w:val="00E81236"/>
    <w:rsid w:val="00E822F2"/>
    <w:rsid w:val="00E94655"/>
    <w:rsid w:val="00E94AD4"/>
    <w:rsid w:val="00E94B5F"/>
    <w:rsid w:val="00E94FFA"/>
    <w:rsid w:val="00E95113"/>
    <w:rsid w:val="00E96A55"/>
    <w:rsid w:val="00E96EA0"/>
    <w:rsid w:val="00E9790E"/>
    <w:rsid w:val="00E97D91"/>
    <w:rsid w:val="00EA2530"/>
    <w:rsid w:val="00EA2583"/>
    <w:rsid w:val="00EA2F84"/>
    <w:rsid w:val="00EA5210"/>
    <w:rsid w:val="00EB117E"/>
    <w:rsid w:val="00EB11C9"/>
    <w:rsid w:val="00EB1280"/>
    <w:rsid w:val="00EB17B4"/>
    <w:rsid w:val="00EB1980"/>
    <w:rsid w:val="00EB2655"/>
    <w:rsid w:val="00EB2D96"/>
    <w:rsid w:val="00EB3C9D"/>
    <w:rsid w:val="00EB4AC7"/>
    <w:rsid w:val="00EB5758"/>
    <w:rsid w:val="00EB5F81"/>
    <w:rsid w:val="00EB6C5E"/>
    <w:rsid w:val="00EB7123"/>
    <w:rsid w:val="00EC418D"/>
    <w:rsid w:val="00EC5DF2"/>
    <w:rsid w:val="00ED32D3"/>
    <w:rsid w:val="00ED3930"/>
    <w:rsid w:val="00ED3F91"/>
    <w:rsid w:val="00ED4E09"/>
    <w:rsid w:val="00ED6E3B"/>
    <w:rsid w:val="00ED765C"/>
    <w:rsid w:val="00EE0DC1"/>
    <w:rsid w:val="00EE1208"/>
    <w:rsid w:val="00EE2522"/>
    <w:rsid w:val="00EE2531"/>
    <w:rsid w:val="00EE37B4"/>
    <w:rsid w:val="00EE4DFF"/>
    <w:rsid w:val="00EE591A"/>
    <w:rsid w:val="00EE6168"/>
    <w:rsid w:val="00EE70FE"/>
    <w:rsid w:val="00EF02CD"/>
    <w:rsid w:val="00EF1A7D"/>
    <w:rsid w:val="00EF31D0"/>
    <w:rsid w:val="00EF32E3"/>
    <w:rsid w:val="00EF3746"/>
    <w:rsid w:val="00EF4562"/>
    <w:rsid w:val="00EF7621"/>
    <w:rsid w:val="00F002B1"/>
    <w:rsid w:val="00F005D7"/>
    <w:rsid w:val="00F018FE"/>
    <w:rsid w:val="00F01A58"/>
    <w:rsid w:val="00F02313"/>
    <w:rsid w:val="00F03FCD"/>
    <w:rsid w:val="00F04B3A"/>
    <w:rsid w:val="00F04D13"/>
    <w:rsid w:val="00F10177"/>
    <w:rsid w:val="00F10838"/>
    <w:rsid w:val="00F148A5"/>
    <w:rsid w:val="00F14A09"/>
    <w:rsid w:val="00F17649"/>
    <w:rsid w:val="00F17F19"/>
    <w:rsid w:val="00F20676"/>
    <w:rsid w:val="00F208A0"/>
    <w:rsid w:val="00F211F9"/>
    <w:rsid w:val="00F22780"/>
    <w:rsid w:val="00F23E6D"/>
    <w:rsid w:val="00F24BD5"/>
    <w:rsid w:val="00F26A2F"/>
    <w:rsid w:val="00F31EB9"/>
    <w:rsid w:val="00F32582"/>
    <w:rsid w:val="00F3259D"/>
    <w:rsid w:val="00F34701"/>
    <w:rsid w:val="00F35549"/>
    <w:rsid w:val="00F359BD"/>
    <w:rsid w:val="00F35BF8"/>
    <w:rsid w:val="00F35E13"/>
    <w:rsid w:val="00F3759A"/>
    <w:rsid w:val="00F40035"/>
    <w:rsid w:val="00F40248"/>
    <w:rsid w:val="00F40C3E"/>
    <w:rsid w:val="00F41B00"/>
    <w:rsid w:val="00F452F0"/>
    <w:rsid w:val="00F454BF"/>
    <w:rsid w:val="00F46055"/>
    <w:rsid w:val="00F46EA8"/>
    <w:rsid w:val="00F47EE1"/>
    <w:rsid w:val="00F5043C"/>
    <w:rsid w:val="00F5049F"/>
    <w:rsid w:val="00F509E7"/>
    <w:rsid w:val="00F51296"/>
    <w:rsid w:val="00F51C9A"/>
    <w:rsid w:val="00F52763"/>
    <w:rsid w:val="00F530FC"/>
    <w:rsid w:val="00F53C55"/>
    <w:rsid w:val="00F54C39"/>
    <w:rsid w:val="00F56BAE"/>
    <w:rsid w:val="00F60413"/>
    <w:rsid w:val="00F614B9"/>
    <w:rsid w:val="00F6161A"/>
    <w:rsid w:val="00F61A1E"/>
    <w:rsid w:val="00F63E43"/>
    <w:rsid w:val="00F646E9"/>
    <w:rsid w:val="00F70350"/>
    <w:rsid w:val="00F727CB"/>
    <w:rsid w:val="00F73694"/>
    <w:rsid w:val="00F73E5B"/>
    <w:rsid w:val="00F74AE0"/>
    <w:rsid w:val="00F75C5D"/>
    <w:rsid w:val="00F760C9"/>
    <w:rsid w:val="00F76227"/>
    <w:rsid w:val="00F815A7"/>
    <w:rsid w:val="00F81993"/>
    <w:rsid w:val="00F81D18"/>
    <w:rsid w:val="00F84203"/>
    <w:rsid w:val="00F8624D"/>
    <w:rsid w:val="00F86B59"/>
    <w:rsid w:val="00F902D6"/>
    <w:rsid w:val="00F93EAA"/>
    <w:rsid w:val="00F950F4"/>
    <w:rsid w:val="00F95F17"/>
    <w:rsid w:val="00F96211"/>
    <w:rsid w:val="00FA0048"/>
    <w:rsid w:val="00FA438B"/>
    <w:rsid w:val="00FA495F"/>
    <w:rsid w:val="00FA57A9"/>
    <w:rsid w:val="00FB0392"/>
    <w:rsid w:val="00FB30EF"/>
    <w:rsid w:val="00FB4D07"/>
    <w:rsid w:val="00FB4D8B"/>
    <w:rsid w:val="00FB71A6"/>
    <w:rsid w:val="00FB7FB3"/>
    <w:rsid w:val="00FC4D2C"/>
    <w:rsid w:val="00FC615B"/>
    <w:rsid w:val="00FC67C3"/>
    <w:rsid w:val="00FC70D6"/>
    <w:rsid w:val="00FD03AF"/>
    <w:rsid w:val="00FD1058"/>
    <w:rsid w:val="00FD1393"/>
    <w:rsid w:val="00FD2B7D"/>
    <w:rsid w:val="00FD2C74"/>
    <w:rsid w:val="00FD3F17"/>
    <w:rsid w:val="00FD560A"/>
    <w:rsid w:val="00FD5E26"/>
    <w:rsid w:val="00FD6227"/>
    <w:rsid w:val="00FD6366"/>
    <w:rsid w:val="00FD655C"/>
    <w:rsid w:val="00FD7400"/>
    <w:rsid w:val="00FD7EA8"/>
    <w:rsid w:val="00FE040A"/>
    <w:rsid w:val="00FE058B"/>
    <w:rsid w:val="00FE346E"/>
    <w:rsid w:val="00FE34AE"/>
    <w:rsid w:val="00FE5855"/>
    <w:rsid w:val="00FE6C02"/>
    <w:rsid w:val="00FE6E76"/>
    <w:rsid w:val="00FE78B8"/>
    <w:rsid w:val="00FF067D"/>
    <w:rsid w:val="00FF37BC"/>
    <w:rsid w:val="00FF3D1D"/>
    <w:rsid w:val="00FF3E9A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ats.oecd.org/OECDWS/Metadata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34A5C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E1"/>
    <w:pPr>
      <w:tabs>
        <w:tab w:val="left" w:pos="851"/>
      </w:tabs>
      <w:jc w:val="both"/>
    </w:pPr>
    <w:rPr>
      <w:rFonts w:ascii="Times" w:hAnsi="Times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02FE1"/>
    <w:pPr>
      <w:keepNext/>
      <w:spacing w:before="240" w:after="60"/>
      <w:outlineLvl w:val="0"/>
    </w:pPr>
    <w:rPr>
      <w:rFonts w:ascii="Helvetica" w:hAnsi="Helvetica"/>
      <w:b/>
      <w:kern w:val="28"/>
      <w:sz w:val="24"/>
    </w:rPr>
  </w:style>
  <w:style w:type="paragraph" w:styleId="Heading2">
    <w:name w:val="heading 2"/>
    <w:basedOn w:val="Normal"/>
    <w:next w:val="Normal"/>
    <w:qFormat/>
    <w:rsid w:val="00B02FE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F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2F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2FE1"/>
  </w:style>
  <w:style w:type="character" w:styleId="Hyperlink">
    <w:name w:val="Hyperlink"/>
    <w:basedOn w:val="DefaultParagraphFont"/>
    <w:rsid w:val="00B02FE1"/>
    <w:rPr>
      <w:color w:val="0000FF"/>
      <w:u w:val="single"/>
    </w:rPr>
  </w:style>
  <w:style w:type="paragraph" w:styleId="DocumentMap">
    <w:name w:val="Document Map"/>
    <w:basedOn w:val="Normal"/>
    <w:semiHidden/>
    <w:rsid w:val="00B02FE1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B02FE1"/>
    <w:rPr>
      <w:color w:val="800080"/>
      <w:u w:val="single"/>
    </w:rPr>
  </w:style>
  <w:style w:type="paragraph" w:styleId="BalloonText">
    <w:name w:val="Balloon Text"/>
    <w:basedOn w:val="Normal"/>
    <w:semiHidden/>
    <w:rsid w:val="00837C1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4C6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4C61"/>
    <w:rPr>
      <w:rFonts w:ascii="Times" w:hAnsi="Times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154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54C61"/>
    <w:pPr>
      <w:tabs>
        <w:tab w:val="clear" w:pos="851"/>
        <w:tab w:val="left" w:pos="850"/>
        <w:tab w:val="left" w:pos="1191"/>
        <w:tab w:val="left" w:pos="1531"/>
      </w:tabs>
      <w:spacing w:after="120"/>
      <w:ind w:left="850" w:hanging="850"/>
    </w:pPr>
    <w:rPr>
      <w:rFonts w:ascii="Times New Roman" w:hAnsi="Times New Roman"/>
      <w:sz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4C61"/>
    <w:rPr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54C6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3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D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D9C"/>
    <w:rPr>
      <w:rFonts w:ascii="Times" w:hAnsi="Time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D9C"/>
    <w:rPr>
      <w:rFonts w:ascii="Times" w:hAnsi="Times"/>
      <w:b/>
      <w:bCs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4A1F"/>
    <w:pPr>
      <w:tabs>
        <w:tab w:val="clear" w:pos="851"/>
      </w:tabs>
      <w:jc w:val="left"/>
    </w:pPr>
    <w:rPr>
      <w:rFonts w:ascii="Consolas" w:hAnsi="Consolas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4A1F"/>
    <w:rPr>
      <w:rFonts w:ascii="Consolas" w:hAnsi="Consolas"/>
      <w:szCs w:val="21"/>
    </w:rPr>
  </w:style>
  <w:style w:type="paragraph" w:customStyle="1" w:styleId="Div">
    <w:name w:val="Div"/>
    <w:basedOn w:val="Normal"/>
    <w:rsid w:val="001269D0"/>
    <w:pPr>
      <w:shd w:val="solid" w:color="FFFFFF" w:fill="auto"/>
      <w:tabs>
        <w:tab w:val="clear" w:pos="851"/>
      </w:tabs>
      <w:jc w:val="left"/>
    </w:pPr>
    <w:rPr>
      <w:rFonts w:ascii="Times New Roman" w:hAnsi="Times New Roman"/>
      <w:color w:val="000000"/>
      <w:sz w:val="24"/>
      <w:szCs w:val="24"/>
      <w:shd w:val="solid" w:color="FFFFFF" w:fill="auto"/>
      <w:lang w:val="ru-RU" w:eastAsia="ru-RU"/>
    </w:rPr>
  </w:style>
  <w:style w:type="table" w:styleId="TableGrid">
    <w:name w:val="Table Grid"/>
    <w:basedOn w:val="TableNormal"/>
    <w:uiPriority w:val="59"/>
    <w:rsid w:val="00F4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2">
    <w:name w:val="s12"/>
    <w:basedOn w:val="Normal"/>
    <w:rsid w:val="000B22FC"/>
    <w:pPr>
      <w:tabs>
        <w:tab w:val="clear" w:pos="851"/>
      </w:tabs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 w:eastAsia="zh-CN"/>
    </w:rPr>
  </w:style>
  <w:style w:type="character" w:customStyle="1" w:styleId="s10">
    <w:name w:val="s10"/>
    <w:basedOn w:val="DefaultParagraphFont"/>
    <w:rsid w:val="000B22FC"/>
  </w:style>
  <w:style w:type="character" w:customStyle="1" w:styleId="s6">
    <w:name w:val="s6"/>
    <w:basedOn w:val="DefaultParagraphFont"/>
    <w:rsid w:val="000B22FC"/>
  </w:style>
  <w:style w:type="character" w:customStyle="1" w:styleId="apple-style-span">
    <w:name w:val="apple-style-span"/>
    <w:basedOn w:val="DefaultParagraphFont"/>
    <w:rsid w:val="000B22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07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single" w:sz="6" w:space="2" w:color="CFD9F2"/>
                <w:bottom w:val="single" w:sz="6" w:space="2" w:color="CFD9F2"/>
                <w:right w:val="single" w:sz="6" w:space="2" w:color="CFD9F2"/>
              </w:divBdr>
            </w:div>
          </w:divsChild>
        </w:div>
      </w:divsChild>
    </w:div>
    <w:div w:id="1543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oecd.org/std/na/OECDQuarterlyGDPGrowth_Methodology_EN.pdf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oecd.org/dataoecd/44/19/49874640.pdf" TargetMode="External"/><Relationship Id="rId11" Type="http://schemas.openxmlformats.org/officeDocument/2006/relationships/hyperlink" Target="http://stats.oecd.org/WBOS/Index.aspx?QueryName=350" TargetMode="External"/><Relationship Id="rId12" Type="http://schemas.openxmlformats.org/officeDocument/2006/relationships/hyperlink" Target="mailto:news.contact@oecd.org" TargetMode="External"/><Relationship Id="rId13" Type="http://schemas.openxmlformats.org/officeDocument/2006/relationships/hyperlink" Target="mailto:stat.contact@oecd.org" TargetMode="External"/><Relationship Id="rId14" Type="http://schemas.openxmlformats.org/officeDocument/2006/relationships/image" Target="media/image2.emf"/><Relationship Id="rId15" Type="http://schemas.openxmlformats.org/officeDocument/2006/relationships/image" Target="media/image3.emf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2FAE-532D-4245-91E5-E631D9B9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461</Words>
  <Characters>2628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OCDE</Company>
  <LinksUpToDate>false</LinksUpToDate>
  <CharactersWithSpaces>3083</CharactersWithSpaces>
  <SharedDoc>false</SharedDoc>
  <HLinks>
    <vt:vector size="30" baseType="variant">
      <vt:variant>
        <vt:i4>7274498</vt:i4>
      </vt:variant>
      <vt:variant>
        <vt:i4>12</vt:i4>
      </vt:variant>
      <vt:variant>
        <vt:i4>0</vt:i4>
      </vt:variant>
      <vt:variant>
        <vt:i4>5</vt:i4>
      </vt:variant>
      <vt:variant>
        <vt:lpwstr>mailto:stat.contact@oecd.org</vt:lpwstr>
      </vt:variant>
      <vt:variant>
        <vt:lpwstr/>
      </vt:variant>
      <vt:variant>
        <vt:i4>6553620</vt:i4>
      </vt:variant>
      <vt:variant>
        <vt:i4>9</vt:i4>
      </vt:variant>
      <vt:variant>
        <vt:i4>0</vt:i4>
      </vt:variant>
      <vt:variant>
        <vt:i4>5</vt:i4>
      </vt:variant>
      <vt:variant>
        <vt:lpwstr>mailto:news.contact@oecd.org</vt:lpwstr>
      </vt:variant>
      <vt:variant>
        <vt:lpwstr/>
      </vt:variant>
      <vt:variant>
        <vt:i4>7536749</vt:i4>
      </vt:variant>
      <vt:variant>
        <vt:i4>6</vt:i4>
      </vt:variant>
      <vt:variant>
        <vt:i4>0</vt:i4>
      </vt:variant>
      <vt:variant>
        <vt:i4>5</vt:i4>
      </vt:variant>
      <vt:variant>
        <vt:lpwstr>http://stats.oecd.org/WBOS/Index.aspx?QueryName=350</vt:lpwstr>
      </vt:variant>
      <vt:variant>
        <vt:lpwstr/>
      </vt:variant>
      <vt:variant>
        <vt:i4>3211320</vt:i4>
      </vt:variant>
      <vt:variant>
        <vt:i4>3</vt:i4>
      </vt:variant>
      <vt:variant>
        <vt:i4>0</vt:i4>
      </vt:variant>
      <vt:variant>
        <vt:i4>5</vt:i4>
      </vt:variant>
      <vt:variant>
        <vt:lpwstr>http://www.oecd.org/dataoecd/44/19/49874640.pdf</vt:lpwstr>
      </vt:variant>
      <vt:variant>
        <vt:lpwstr/>
      </vt:variant>
      <vt:variant>
        <vt:i4>7471139</vt:i4>
      </vt:variant>
      <vt:variant>
        <vt:i4>0</vt:i4>
      </vt:variant>
      <vt:variant>
        <vt:i4>0</vt:i4>
      </vt:variant>
      <vt:variant>
        <vt:i4>5</vt:i4>
      </vt:variant>
      <vt:variant>
        <vt:lpwstr>http://www.oecd.org/dataoecd/21/2/44605770.pdf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OECD</dc:creator>
  <cp:lastModifiedBy>John Doe</cp:lastModifiedBy>
  <cp:revision>15</cp:revision>
  <cp:lastPrinted>2013-02-18T16:51:00Z</cp:lastPrinted>
  <dcterms:created xsi:type="dcterms:W3CDTF">2013-02-15T17:02:00Z</dcterms:created>
  <dcterms:modified xsi:type="dcterms:W3CDTF">2013-02-20T06:21:00Z</dcterms:modified>
</cp:coreProperties>
</file>